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附件2：</w:t>
      </w:r>
    </w:p>
    <w:p>
      <w:pPr>
        <w:widowControl/>
        <w:spacing w:line="312" w:lineRule="auto"/>
        <w:jc w:val="center"/>
        <w:rPr>
          <w:rFonts w:ascii="Times New Roman" w:hAnsi="Times New Roman" w:eastAsia="黑体" w:cs="Times New Roman"/>
          <w:b/>
          <w:sz w:val="32"/>
          <w:szCs w:val="32"/>
        </w:rPr>
      </w:pPr>
      <w:r>
        <w:rPr>
          <w:rFonts w:ascii="Times New Roman" w:hAnsi="Times New Roman" w:eastAsia="黑体" w:cs="Times New Roman"/>
          <w:bCs/>
          <w:color w:val="000000"/>
          <w:sz w:val="32"/>
          <w:szCs w:val="32"/>
        </w:rPr>
        <w:t>××</w:t>
      </w:r>
      <w:r>
        <w:rPr>
          <w:rFonts w:hint="eastAsia" w:ascii="Times New Roman" w:hAnsi="Times New Roman" w:eastAsia="黑体" w:cs="Times New Roman"/>
          <w:bCs/>
          <w:color w:val="000000"/>
          <w:sz w:val="32"/>
          <w:szCs w:val="32"/>
          <w:lang w:eastAsia="zh-CN"/>
        </w:rPr>
        <w:t>证书</w:t>
      </w:r>
      <w:bookmarkStart w:id="0" w:name="_GoBack"/>
      <w:bookmarkEnd w:id="0"/>
      <w:r>
        <w:rPr>
          <w:rFonts w:ascii="Times New Roman" w:hAnsi="Times New Roman" w:eastAsia="黑体" w:cs="Times New Roman"/>
          <w:bCs/>
          <w:color w:val="000000"/>
          <w:sz w:val="32"/>
          <w:szCs w:val="32"/>
        </w:rPr>
        <w:t>学习成果转换办法（模板）</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为…………………………………………………………………………………………，规范X证书与我校相关专业课程转换工作，特制定本办法。</w:t>
      </w:r>
    </w:p>
    <w:p>
      <w:pPr>
        <w:spacing w:line="540" w:lineRule="exact"/>
        <w:ind w:firstLine="600" w:firstLineChars="200"/>
        <w:rPr>
          <w:rFonts w:hint="eastAsia" w:ascii="Times New Roman" w:hAnsi="Times New Roman" w:eastAsia="黑体" w:cs="Times New Roman"/>
          <w:bCs/>
          <w:color w:val="FF0000"/>
          <w:sz w:val="30"/>
          <w:szCs w:val="30"/>
          <w:lang w:eastAsia="zh-CN"/>
        </w:rPr>
      </w:pPr>
      <w:r>
        <w:rPr>
          <w:rFonts w:ascii="Times New Roman" w:hAnsi="Times New Roman" w:eastAsia="黑体" w:cs="Times New Roman"/>
          <w:bCs/>
          <w:color w:val="000000"/>
          <w:sz w:val="30"/>
          <w:szCs w:val="30"/>
        </w:rPr>
        <w:t>一、范围与原则</w:t>
      </w:r>
      <w:r>
        <w:rPr>
          <w:rFonts w:hint="eastAsia" w:ascii="Times New Roman" w:hAnsi="Times New Roman" w:eastAsia="黑体" w:cs="Times New Roman"/>
          <w:bCs/>
          <w:color w:val="FF0000"/>
          <w:sz w:val="30"/>
          <w:szCs w:val="30"/>
          <w:lang w:eastAsia="zh-CN"/>
        </w:rPr>
        <w:t>（</w:t>
      </w:r>
      <w:r>
        <w:rPr>
          <w:rFonts w:hint="eastAsia" w:ascii="Times New Roman" w:hAnsi="Times New Roman" w:eastAsia="黑体" w:cs="Times New Roman"/>
          <w:bCs/>
          <w:color w:val="FF0000"/>
          <w:sz w:val="30"/>
          <w:szCs w:val="30"/>
          <w:lang w:val="en-US" w:eastAsia="zh-CN"/>
        </w:rPr>
        <w:t>各证书负责人须填写</w:t>
      </w:r>
      <w:r>
        <w:rPr>
          <w:rFonts w:hint="eastAsia" w:ascii="Times New Roman" w:hAnsi="Times New Roman" w:eastAsia="黑体" w:cs="Times New Roman"/>
          <w:bCs/>
          <w:color w:val="FF0000"/>
          <w:sz w:val="30"/>
          <w:szCs w:val="30"/>
          <w:lang w:eastAsia="zh-CN"/>
        </w:rPr>
        <w:t>）</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1．X证书（等级）转换的课程范围</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X证书（等级）能够转换的课程，主要包括**专业（层次）的**类（比如：实践类）课程、………………等。</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2．X证书转换的学分要求</w:t>
      </w:r>
    </w:p>
    <w:p>
      <w:pPr>
        <w:ind w:firstLine="600" w:firstLineChars="200"/>
        <w:rPr>
          <w:rFonts w:hint="eastAsia" w:ascii="Times New Roman" w:hAnsi="Times New Roman" w:eastAsia="仿宋_GB2312" w:cs="Times New Roman"/>
          <w:bCs/>
          <w:color w:val="000000"/>
          <w:sz w:val="30"/>
          <w:szCs w:val="30"/>
          <w:lang w:eastAsia="zh-CN"/>
        </w:rPr>
      </w:pPr>
      <w:r>
        <w:rPr>
          <w:rFonts w:ascii="Times New Roman" w:hAnsi="Times New Roman" w:eastAsia="仿宋_GB2312" w:cs="Times New Roman"/>
          <w:bCs/>
          <w:color w:val="000000"/>
          <w:sz w:val="30"/>
          <w:szCs w:val="30"/>
        </w:rPr>
        <w:t>（1）每门课程只能和一个X证书实现转换，多个X证书不能重复替换同一门课程。</w:t>
      </w:r>
      <w:r>
        <w:rPr>
          <w:rFonts w:hint="eastAsia" w:ascii="Times New Roman" w:hAnsi="Times New Roman" w:eastAsia="仿宋_GB2312" w:cs="Times New Roman"/>
          <w:bCs/>
          <w:color w:val="000000"/>
          <w:sz w:val="30"/>
          <w:szCs w:val="30"/>
          <w:lang w:eastAsia="zh-CN"/>
        </w:rPr>
        <w:t>（</w:t>
      </w:r>
      <w:r>
        <w:rPr>
          <w:rFonts w:ascii="Times New Roman" w:hAnsi="Times New Roman" w:cs="Times New Roman"/>
          <w:color w:val="FF0000"/>
          <w:sz w:val="24"/>
          <w:szCs w:val="40"/>
        </w:rPr>
        <w:t>注：根据《职业教育国家学分银行建设工作规程（试行）》中的有关规定，每个X证书可以兑换的课程学分总和不超过8学分。</w:t>
      </w:r>
      <w:r>
        <w:rPr>
          <w:rFonts w:hint="eastAsia" w:ascii="Times New Roman" w:hAnsi="Times New Roman" w:eastAsia="仿宋_GB2312" w:cs="Times New Roman"/>
          <w:bCs/>
          <w:color w:val="000000"/>
          <w:sz w:val="30"/>
          <w:szCs w:val="30"/>
          <w:lang w:eastAsia="zh-CN"/>
        </w:rPr>
        <w:t>）</w:t>
      </w:r>
    </w:p>
    <w:p>
      <w:pPr>
        <w:spacing w:line="540" w:lineRule="exact"/>
        <w:ind w:firstLine="600" w:firstLineChars="200"/>
        <w:rPr>
          <w:rFonts w:hint="eastAsia" w:ascii="Times New Roman" w:hAnsi="Times New Roman" w:eastAsia="仿宋_GB2312" w:cs="Times New Roman"/>
          <w:bCs/>
          <w:color w:val="000000"/>
          <w:sz w:val="30"/>
          <w:szCs w:val="30"/>
          <w:lang w:eastAsia="zh-CN"/>
        </w:rPr>
      </w:pPr>
      <w:r>
        <w:rPr>
          <w:rFonts w:ascii="Times New Roman" w:hAnsi="Times New Roman" w:eastAsia="仿宋_GB2312" w:cs="Times New Roman"/>
          <w:bCs/>
          <w:color w:val="000000"/>
          <w:sz w:val="30"/>
          <w:szCs w:val="30"/>
        </w:rPr>
        <w:t>（2）X证书能够转换的课程的学分数不得超过相关专业毕业总学分的？%。</w:t>
      </w:r>
      <w:r>
        <w:rPr>
          <w:rFonts w:hint="eastAsia" w:ascii="Times New Roman" w:hAnsi="Times New Roman" w:eastAsia="仿宋_GB2312" w:cs="Times New Roman"/>
          <w:bCs/>
          <w:color w:val="FF0000"/>
          <w:sz w:val="30"/>
          <w:szCs w:val="30"/>
          <w:lang w:eastAsia="zh-CN"/>
        </w:rPr>
        <w:t>（</w:t>
      </w:r>
      <w:r>
        <w:rPr>
          <w:rFonts w:hint="eastAsia" w:ascii="Times New Roman" w:hAnsi="Times New Roman" w:eastAsia="仿宋_GB2312" w:cs="Times New Roman"/>
          <w:bCs/>
          <w:color w:val="FF0000"/>
          <w:sz w:val="30"/>
          <w:szCs w:val="30"/>
          <w:lang w:val="en-US" w:eastAsia="zh-CN"/>
        </w:rPr>
        <w:t>具体标准学院正在讨论，待定。各证书先自行联系培训评价组织确定本证书转换方式</w:t>
      </w:r>
      <w:r>
        <w:rPr>
          <w:rFonts w:hint="eastAsia" w:ascii="Times New Roman" w:hAnsi="Times New Roman" w:eastAsia="仿宋_GB2312" w:cs="Times New Roman"/>
          <w:bCs/>
          <w:color w:val="FF0000"/>
          <w:sz w:val="30"/>
          <w:szCs w:val="30"/>
          <w:lang w:eastAsia="zh-CN"/>
        </w:rPr>
        <w:t>）</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（3）每个X证书可转换的课程学分的总量不得超过职业教育国家学分银行认定的学分。</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3．相同等级转换原则</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（1）初级X证书只能转换本校相关专业某类课程（比如：理论课程）的学分。</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（2）中级X证书只能转换本校相关专业某类课程（比如：理论课程）的学分。</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（3）高级X证书只能转换本校相关专业某类课程（比如：理论课程）的学分。</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w:t>
      </w:r>
    </w:p>
    <w:p>
      <w:pPr>
        <w:spacing w:line="540" w:lineRule="exact"/>
        <w:ind w:firstLine="600" w:firstLineChars="200"/>
        <w:rPr>
          <w:rFonts w:hint="eastAsia" w:ascii="Times New Roman" w:hAnsi="Times New Roman" w:eastAsia="黑体" w:cs="Times New Roman"/>
          <w:bCs/>
          <w:color w:val="000000"/>
          <w:sz w:val="30"/>
          <w:szCs w:val="30"/>
          <w:lang w:eastAsia="zh-CN"/>
        </w:rPr>
      </w:pPr>
      <w:r>
        <w:rPr>
          <w:rFonts w:ascii="Times New Roman" w:hAnsi="Times New Roman" w:eastAsia="黑体" w:cs="Times New Roman"/>
          <w:bCs/>
          <w:color w:val="000000"/>
          <w:sz w:val="30"/>
          <w:szCs w:val="30"/>
        </w:rPr>
        <w:t>二、X证书转换的办理流程</w:t>
      </w:r>
      <w:r>
        <w:rPr>
          <w:rFonts w:hint="eastAsia" w:ascii="Times New Roman" w:hAnsi="Times New Roman" w:eastAsia="黑体" w:cs="Times New Roman"/>
          <w:bCs/>
          <w:color w:val="FF0000"/>
          <w:sz w:val="30"/>
          <w:szCs w:val="30"/>
          <w:lang w:eastAsia="zh-CN"/>
        </w:rPr>
        <w:t>（</w:t>
      </w:r>
      <w:r>
        <w:rPr>
          <w:rFonts w:hint="eastAsia" w:ascii="Times New Roman" w:hAnsi="Times New Roman" w:eastAsia="黑体" w:cs="Times New Roman"/>
          <w:bCs/>
          <w:color w:val="FF0000"/>
          <w:sz w:val="30"/>
          <w:szCs w:val="30"/>
          <w:lang w:val="en-US" w:eastAsia="zh-CN"/>
        </w:rPr>
        <w:t>教务处商学院定</w:t>
      </w:r>
      <w:r>
        <w:rPr>
          <w:rFonts w:hint="eastAsia" w:ascii="Times New Roman" w:hAnsi="Times New Roman" w:eastAsia="黑体" w:cs="Times New Roman"/>
          <w:bCs/>
          <w:color w:val="FF0000"/>
          <w:sz w:val="30"/>
          <w:szCs w:val="30"/>
          <w:lang w:eastAsia="zh-CN"/>
        </w:rPr>
        <w:t>）</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（1）学生提交申请材料；</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（2）学院审核；</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（3）教务部门审批；</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（具体流程根据院校实际情况自行拟定）</w:t>
      </w:r>
    </w:p>
    <w:p>
      <w:pPr>
        <w:spacing w:line="540" w:lineRule="exact"/>
        <w:ind w:firstLine="600" w:firstLineChars="200"/>
        <w:rPr>
          <w:rFonts w:hint="eastAsia" w:ascii="Times New Roman" w:hAnsi="Times New Roman" w:eastAsia="黑体" w:cs="Times New Roman"/>
          <w:bCs/>
          <w:color w:val="000000"/>
          <w:sz w:val="30"/>
          <w:szCs w:val="30"/>
          <w:lang w:eastAsia="zh-CN"/>
        </w:rPr>
      </w:pPr>
      <w:r>
        <w:rPr>
          <w:rFonts w:ascii="Times New Roman" w:hAnsi="Times New Roman" w:eastAsia="黑体" w:cs="Times New Roman"/>
          <w:bCs/>
          <w:color w:val="000000"/>
          <w:sz w:val="30"/>
          <w:szCs w:val="30"/>
        </w:rPr>
        <w:t>三、成绩管理</w:t>
      </w:r>
      <w:r>
        <w:rPr>
          <w:rFonts w:hint="eastAsia" w:ascii="Times New Roman" w:hAnsi="Times New Roman" w:eastAsia="黑体" w:cs="Times New Roman"/>
          <w:bCs/>
          <w:color w:val="FF0000"/>
          <w:sz w:val="30"/>
          <w:szCs w:val="30"/>
          <w:lang w:eastAsia="zh-CN"/>
        </w:rPr>
        <w:t>（</w:t>
      </w:r>
      <w:r>
        <w:rPr>
          <w:rFonts w:hint="eastAsia" w:ascii="Times New Roman" w:hAnsi="Times New Roman" w:eastAsia="黑体" w:cs="Times New Roman"/>
          <w:bCs/>
          <w:color w:val="FF0000"/>
          <w:sz w:val="30"/>
          <w:szCs w:val="30"/>
          <w:lang w:val="en-US" w:eastAsia="zh-CN"/>
        </w:rPr>
        <w:t>教务处商学院定</w:t>
      </w:r>
      <w:r>
        <w:rPr>
          <w:rFonts w:hint="eastAsia" w:ascii="Times New Roman" w:hAnsi="Times New Roman" w:eastAsia="黑体" w:cs="Times New Roman"/>
          <w:bCs/>
          <w:color w:val="FF0000"/>
          <w:sz w:val="30"/>
          <w:szCs w:val="30"/>
          <w:lang w:eastAsia="zh-CN"/>
        </w:rPr>
        <w:t>）</w:t>
      </w:r>
    </w:p>
    <w:p>
      <w:pPr>
        <w:spacing w:line="540" w:lineRule="exact"/>
        <w:ind w:firstLine="600" w:firstLineChars="200"/>
        <w:rPr>
          <w:rFonts w:ascii="Times New Roman" w:hAnsi="Times New Roman" w:eastAsia="黑体" w:cs="Times New Roman"/>
          <w:bCs/>
          <w:color w:val="000000"/>
          <w:sz w:val="30"/>
          <w:szCs w:val="30"/>
        </w:rPr>
      </w:pP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转换课程的成绩登记（各院校根据本校的成绩管理规定执行）。</w:t>
      </w:r>
    </w:p>
    <w:p>
      <w:pPr>
        <w:spacing w:line="540" w:lineRule="exact"/>
        <w:ind w:firstLine="600" w:firstLineChars="200"/>
        <w:rPr>
          <w:rFonts w:hint="eastAsia" w:ascii="Times New Roman" w:hAnsi="Times New Roman" w:eastAsia="黑体" w:cs="Times New Roman"/>
          <w:bCs/>
          <w:color w:val="000000"/>
          <w:sz w:val="30"/>
          <w:szCs w:val="30"/>
          <w:lang w:eastAsia="zh-CN"/>
        </w:rPr>
      </w:pPr>
      <w:r>
        <w:rPr>
          <w:rFonts w:ascii="Times New Roman" w:hAnsi="Times New Roman" w:eastAsia="黑体" w:cs="Times New Roman"/>
          <w:bCs/>
          <w:color w:val="000000"/>
          <w:sz w:val="30"/>
          <w:szCs w:val="30"/>
        </w:rPr>
        <w:t>四、有效期</w:t>
      </w:r>
      <w:r>
        <w:rPr>
          <w:rFonts w:hint="eastAsia" w:ascii="Times New Roman" w:hAnsi="Times New Roman" w:eastAsia="黑体" w:cs="Times New Roman"/>
          <w:bCs/>
          <w:color w:val="FF0000"/>
          <w:sz w:val="30"/>
          <w:szCs w:val="30"/>
          <w:lang w:eastAsia="zh-CN"/>
        </w:rPr>
        <w:t>（</w:t>
      </w:r>
      <w:r>
        <w:rPr>
          <w:rFonts w:hint="eastAsia" w:ascii="Times New Roman" w:hAnsi="Times New Roman" w:eastAsia="黑体" w:cs="Times New Roman"/>
          <w:bCs/>
          <w:color w:val="FF0000"/>
          <w:sz w:val="30"/>
          <w:szCs w:val="30"/>
          <w:lang w:val="en-US" w:eastAsia="zh-CN"/>
        </w:rPr>
        <w:t>教务处商学院定</w:t>
      </w:r>
      <w:r>
        <w:rPr>
          <w:rFonts w:hint="eastAsia" w:ascii="Times New Roman" w:hAnsi="Times New Roman" w:eastAsia="黑体" w:cs="Times New Roman"/>
          <w:bCs/>
          <w:color w:val="FF0000"/>
          <w:sz w:val="30"/>
          <w:szCs w:val="30"/>
          <w:lang w:eastAsia="zh-CN"/>
        </w:rPr>
        <w:t>）</w:t>
      </w:r>
    </w:p>
    <w:p>
      <w:pPr>
        <w:spacing w:line="540" w:lineRule="exact"/>
        <w:ind w:firstLine="600" w:firstLineChars="200"/>
        <w:rPr>
          <w:rFonts w:ascii="Times New Roman" w:hAnsi="Times New Roman" w:eastAsia="黑体" w:cs="Times New Roman"/>
          <w:bCs/>
          <w:color w:val="000000"/>
          <w:sz w:val="30"/>
          <w:szCs w:val="30"/>
        </w:rPr>
      </w:pP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学生取得X证书后，在X证书有效期内可向学校提出学习成果转换申请。</w:t>
      </w:r>
    </w:p>
    <w:p>
      <w:pPr>
        <w:spacing w:line="540" w:lineRule="exact"/>
        <w:ind w:firstLine="600" w:firstLineChars="200"/>
        <w:rPr>
          <w:rFonts w:ascii="Times New Roman" w:hAnsi="Times New Roman" w:eastAsia="黑体" w:cs="Times New Roman"/>
          <w:bCs/>
          <w:color w:val="000000"/>
          <w:sz w:val="30"/>
          <w:szCs w:val="30"/>
        </w:rPr>
      </w:pPr>
      <w:r>
        <w:rPr>
          <w:rFonts w:ascii="Times New Roman" w:hAnsi="Times New Roman" w:eastAsia="黑体" w:cs="Times New Roman"/>
          <w:bCs/>
          <w:color w:val="000000"/>
          <w:sz w:val="30"/>
          <w:szCs w:val="30"/>
        </w:rPr>
        <w:t>五、补充规定</w:t>
      </w:r>
    </w:p>
    <w:p>
      <w:pPr>
        <w:spacing w:line="540" w:lineRule="exact"/>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w:t>
      </w:r>
    </w:p>
    <w:p>
      <w:pPr>
        <w:spacing w:line="540" w:lineRule="exact"/>
        <w:rPr>
          <w:rFonts w:ascii="Times New Roman" w:hAnsi="Times New Roman" w:eastAsia="仿宋_GB2312" w:cs="Times New Roman"/>
          <w:bCs/>
          <w:color w:val="000000"/>
          <w:sz w:val="30"/>
          <w:szCs w:val="30"/>
        </w:rPr>
      </w:pPr>
    </w:p>
    <w:p>
      <w:pPr>
        <w:spacing w:line="540" w:lineRule="exact"/>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rPr>
        <w:t>附录：X证书与学历专业（课程）之间的转换规则表</w:t>
      </w:r>
    </w:p>
    <w:p>
      <w:pPr>
        <w:spacing w:line="540" w:lineRule="exact"/>
        <w:ind w:firstLine="600" w:firstLineChars="200"/>
        <w:rPr>
          <w:rFonts w:ascii="Times New Roman" w:hAnsi="Times New Roman" w:eastAsia="仿宋_GB2312" w:cs="Times New Roman"/>
          <w:bCs/>
          <w:color w:val="000000"/>
          <w:sz w:val="30"/>
          <w:szCs w:val="30"/>
        </w:rPr>
      </w:pPr>
    </w:p>
    <w:p>
      <w:pPr>
        <w:spacing w:line="560" w:lineRule="exact"/>
        <w:ind w:firstLine="600" w:firstLineChars="200"/>
        <w:jc w:val="righ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××学院（校）</w:t>
      </w:r>
    </w:p>
    <w:p>
      <w:pPr>
        <w:wordWrap w:val="0"/>
        <w:spacing w:line="560" w:lineRule="exact"/>
        <w:ind w:right="300" w:firstLine="600" w:firstLineChars="200"/>
        <w:jc w:val="righ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（盖章）</w:t>
      </w:r>
    </w:p>
    <w:p>
      <w:pPr>
        <w:wordWrap w:val="0"/>
        <w:spacing w:line="560" w:lineRule="exact"/>
        <w:ind w:firstLine="600" w:firstLineChars="200"/>
        <w:jc w:val="righ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年  月  日</w:t>
      </w:r>
    </w:p>
    <w:p>
      <w:pPr>
        <w:widowControl/>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pPr>
        <w:spacing w:line="400" w:lineRule="atLeast"/>
        <w:rPr>
          <w:rFonts w:hint="eastAsia" w:ascii="Times New Roman" w:hAnsi="Times New Roman" w:eastAsia="仿宋_GB2312" w:cs="Times New Roman"/>
          <w:kern w:val="0"/>
          <w:sz w:val="30"/>
          <w:szCs w:val="30"/>
          <w:lang w:eastAsia="zh-CN"/>
        </w:rPr>
      </w:pPr>
      <w:r>
        <w:rPr>
          <w:rFonts w:ascii="Times New Roman" w:hAnsi="Times New Roman" w:eastAsia="仿宋_GB2312" w:cs="Times New Roman"/>
          <w:kern w:val="0"/>
          <w:sz w:val="30"/>
          <w:szCs w:val="30"/>
        </w:rPr>
        <w:t>附录</w:t>
      </w:r>
      <w:r>
        <w:rPr>
          <w:rFonts w:hint="eastAsia" w:ascii="Times New Roman" w:hAnsi="Times New Roman" w:eastAsia="仿宋_GB2312" w:cs="Times New Roman"/>
          <w:b/>
          <w:bCs/>
          <w:color w:val="FF0000"/>
          <w:kern w:val="0"/>
          <w:sz w:val="30"/>
          <w:szCs w:val="30"/>
          <w:lang w:eastAsia="zh-CN"/>
        </w:rPr>
        <w:t>（</w:t>
      </w:r>
      <w:r>
        <w:rPr>
          <w:rFonts w:hint="eastAsia" w:ascii="Times New Roman" w:hAnsi="Times New Roman" w:eastAsia="仿宋_GB2312" w:cs="Times New Roman"/>
          <w:b/>
          <w:bCs/>
          <w:color w:val="FF0000"/>
          <w:kern w:val="0"/>
          <w:sz w:val="30"/>
          <w:szCs w:val="30"/>
          <w:lang w:val="en-US" w:eastAsia="zh-CN"/>
        </w:rPr>
        <w:t>各证书负责人填写</w:t>
      </w:r>
      <w:r>
        <w:rPr>
          <w:rFonts w:hint="eastAsia" w:ascii="Times New Roman" w:hAnsi="Times New Roman" w:eastAsia="仿宋_GB2312" w:cs="Times New Roman"/>
          <w:b/>
          <w:bCs/>
          <w:color w:val="FF0000"/>
          <w:kern w:val="0"/>
          <w:sz w:val="30"/>
          <w:szCs w:val="30"/>
          <w:lang w:eastAsia="zh-CN"/>
        </w:rPr>
        <w:t>）</w:t>
      </w:r>
    </w:p>
    <w:p>
      <w:pPr>
        <w:spacing w:line="400" w:lineRule="atLeast"/>
        <w:ind w:firstLine="600" w:firstLineChars="200"/>
        <w:jc w:val="center"/>
        <w:rPr>
          <w:rFonts w:ascii="Times New Roman" w:hAnsi="Times New Roman" w:eastAsia="华文中宋" w:cs="Times New Roman"/>
          <w:sz w:val="28"/>
          <w:szCs w:val="28"/>
        </w:rPr>
      </w:pPr>
      <w:r>
        <w:rPr>
          <w:rFonts w:ascii="Times New Roman" w:hAnsi="Times New Roman" w:eastAsia="仿宋_GB2312" w:cs="Times New Roman"/>
          <w:bCs/>
          <w:color w:val="000000"/>
          <w:sz w:val="30"/>
          <w:szCs w:val="30"/>
        </w:rPr>
        <w:t>X证书与学历专业（课程）之间的转换规则表</w:t>
      </w:r>
    </w:p>
    <w:tbl>
      <w:tblPr>
        <w:tblStyle w:val="5"/>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037"/>
        <w:gridCol w:w="1037"/>
        <w:gridCol w:w="1037"/>
        <w:gridCol w:w="1037"/>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Borders>
              <w:bottom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证书</w:t>
            </w:r>
          </w:p>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名称</w:t>
            </w:r>
          </w:p>
        </w:tc>
        <w:tc>
          <w:tcPr>
            <w:tcW w:w="1037" w:type="dxa"/>
            <w:tcBorders>
              <w:bottom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证书</w:t>
            </w:r>
          </w:p>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等级</w:t>
            </w:r>
          </w:p>
        </w:tc>
        <w:tc>
          <w:tcPr>
            <w:tcW w:w="1037" w:type="dxa"/>
            <w:tcBorders>
              <w:bottom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颁证</w:t>
            </w:r>
          </w:p>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机构</w:t>
            </w:r>
          </w:p>
        </w:tc>
        <w:tc>
          <w:tcPr>
            <w:tcW w:w="1037" w:type="dxa"/>
            <w:tcBorders>
              <w:bottom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专业名称</w:t>
            </w:r>
          </w:p>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及代码</w:t>
            </w:r>
          </w:p>
        </w:tc>
        <w:tc>
          <w:tcPr>
            <w:tcW w:w="1037" w:type="dxa"/>
            <w:tcBorders>
              <w:bottom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学历层次</w:t>
            </w:r>
          </w:p>
        </w:tc>
        <w:tc>
          <w:tcPr>
            <w:tcW w:w="1037" w:type="dxa"/>
            <w:tcBorders>
              <w:bottom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院校名称</w:t>
            </w:r>
          </w:p>
        </w:tc>
        <w:tc>
          <w:tcPr>
            <w:tcW w:w="1037" w:type="dxa"/>
            <w:tcBorders>
              <w:bottom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证书课程名称</w:t>
            </w:r>
          </w:p>
        </w:tc>
        <w:tc>
          <w:tcPr>
            <w:tcW w:w="1037" w:type="dxa"/>
            <w:tcBorders>
              <w:bottom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证书课程学分</w:t>
            </w:r>
          </w:p>
        </w:tc>
        <w:tc>
          <w:tcPr>
            <w:tcW w:w="1037" w:type="dxa"/>
            <w:tcBorders>
              <w:bottom w:val="single" w:color="auto" w:sz="4" w:space="0"/>
            </w:tcBorders>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restart"/>
            <w:vAlign w:val="center"/>
          </w:tcPr>
          <w:p>
            <w:pPr>
              <w:jc w:val="center"/>
              <w:rPr>
                <w:rFonts w:ascii="Times New Roman" w:hAnsi="Times New Roman" w:eastAsia="宋体" w:cs="Times New Roman"/>
                <w:kern w:val="0"/>
                <w:sz w:val="20"/>
                <w:szCs w:val="21"/>
              </w:rPr>
            </w:pPr>
          </w:p>
        </w:tc>
        <w:tc>
          <w:tcPr>
            <w:tcW w:w="1037" w:type="dxa"/>
            <w:vMerge w:val="restart"/>
            <w:vAlign w:val="center"/>
          </w:tcPr>
          <w:p>
            <w:pPr>
              <w:jc w:val="center"/>
              <w:rPr>
                <w:rFonts w:ascii="Times New Roman" w:hAnsi="Times New Roman" w:eastAsia="宋体" w:cs="Times New Roman"/>
                <w:kern w:val="0"/>
                <w:sz w:val="20"/>
                <w:szCs w:val="21"/>
              </w:rPr>
            </w:pPr>
          </w:p>
        </w:tc>
        <w:tc>
          <w:tcPr>
            <w:tcW w:w="1037" w:type="dxa"/>
            <w:vMerge w:val="restart"/>
            <w:vAlign w:val="center"/>
          </w:tcPr>
          <w:p>
            <w:pPr>
              <w:jc w:val="center"/>
              <w:rPr>
                <w:rFonts w:ascii="Times New Roman" w:hAnsi="Times New Roman" w:eastAsia="宋体" w:cs="Times New Roman"/>
                <w:kern w:val="0"/>
                <w:sz w:val="20"/>
                <w:szCs w:val="21"/>
              </w:rPr>
            </w:pPr>
          </w:p>
        </w:tc>
        <w:tc>
          <w:tcPr>
            <w:tcW w:w="1037" w:type="dxa"/>
            <w:vMerge w:val="restart"/>
            <w:vAlign w:val="center"/>
          </w:tcPr>
          <w:p>
            <w:pPr>
              <w:jc w:val="center"/>
              <w:rPr>
                <w:rFonts w:ascii="Times New Roman" w:hAnsi="Times New Roman" w:eastAsia="宋体" w:cs="Times New Roman"/>
                <w:kern w:val="0"/>
                <w:sz w:val="20"/>
                <w:szCs w:val="21"/>
              </w:rPr>
            </w:pPr>
          </w:p>
        </w:tc>
        <w:tc>
          <w:tcPr>
            <w:tcW w:w="1037" w:type="dxa"/>
            <w:vMerge w:val="restart"/>
            <w:vAlign w:val="center"/>
          </w:tcPr>
          <w:p>
            <w:pPr>
              <w:jc w:val="center"/>
              <w:rPr>
                <w:rFonts w:ascii="Times New Roman" w:hAnsi="Times New Roman" w:eastAsia="宋体" w:cs="Times New Roman"/>
                <w:kern w:val="0"/>
                <w:sz w:val="20"/>
                <w:szCs w:val="21"/>
              </w:rPr>
            </w:pPr>
          </w:p>
        </w:tc>
        <w:tc>
          <w:tcPr>
            <w:tcW w:w="1037" w:type="dxa"/>
            <w:vMerge w:val="restart"/>
            <w:vAlign w:val="center"/>
          </w:tcPr>
          <w:p>
            <w:pPr>
              <w:jc w:val="center"/>
              <w:rPr>
                <w:rFonts w:ascii="Times New Roman" w:hAnsi="Times New Roman" w:eastAsia="宋体" w:cs="Times New Roman"/>
                <w:kern w:val="0"/>
                <w:sz w:val="20"/>
                <w:szCs w:val="21"/>
              </w:rPr>
            </w:pPr>
          </w:p>
        </w:tc>
        <w:tc>
          <w:tcPr>
            <w:tcW w:w="1037" w:type="dxa"/>
            <w:tcBorders>
              <w:bottom w:val="single" w:color="auto" w:sz="4" w:space="0"/>
            </w:tcBorders>
            <w:vAlign w:val="center"/>
          </w:tcPr>
          <w:p>
            <w:pPr>
              <w:jc w:val="center"/>
              <w:rPr>
                <w:rFonts w:ascii="Times New Roman" w:hAnsi="Times New Roman" w:eastAsia="宋体" w:cs="Times New Roman"/>
                <w:kern w:val="0"/>
                <w:sz w:val="20"/>
                <w:szCs w:val="21"/>
              </w:rPr>
            </w:pPr>
          </w:p>
        </w:tc>
        <w:tc>
          <w:tcPr>
            <w:tcW w:w="1037" w:type="dxa"/>
            <w:tcBorders>
              <w:bottom w:val="single" w:color="auto" w:sz="4" w:space="0"/>
            </w:tcBorders>
            <w:vAlign w:val="center"/>
          </w:tcPr>
          <w:p>
            <w:pPr>
              <w:jc w:val="center"/>
              <w:rPr>
                <w:rFonts w:ascii="Times New Roman" w:hAnsi="Times New Roman" w:eastAsia="宋体" w:cs="Times New Roman"/>
                <w:kern w:val="0"/>
                <w:sz w:val="20"/>
                <w:szCs w:val="21"/>
              </w:rPr>
            </w:pPr>
          </w:p>
        </w:tc>
        <w:tc>
          <w:tcPr>
            <w:tcW w:w="1037" w:type="dxa"/>
            <w:vMerge w:val="restart"/>
            <w:tcBorders>
              <w:bottom w:val="nil"/>
            </w:tcBorders>
            <w:vAlign w:val="center"/>
          </w:tcPr>
          <w:p>
            <w:pPr>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continue"/>
            <w:vAlign w:val="center"/>
          </w:tcPr>
          <w:p>
            <w:pPr>
              <w:jc w:val="center"/>
              <w:rPr>
                <w:rFonts w:ascii="Times New Roman" w:hAnsi="Times New Roman" w:eastAsia="宋体" w:cs="Times New Roman"/>
                <w:kern w:val="0"/>
                <w:sz w:val="20"/>
                <w:szCs w:val="21"/>
              </w:rPr>
            </w:pPr>
          </w:p>
        </w:tc>
        <w:tc>
          <w:tcPr>
            <w:tcW w:w="1037" w:type="dxa"/>
            <w:vMerge w:val="continue"/>
            <w:vAlign w:val="center"/>
          </w:tcPr>
          <w:p>
            <w:pPr>
              <w:jc w:val="center"/>
              <w:rPr>
                <w:rFonts w:ascii="Times New Roman" w:hAnsi="Times New Roman" w:eastAsia="宋体" w:cs="Times New Roman"/>
                <w:kern w:val="0"/>
                <w:sz w:val="20"/>
                <w:szCs w:val="21"/>
              </w:rPr>
            </w:pPr>
          </w:p>
        </w:tc>
        <w:tc>
          <w:tcPr>
            <w:tcW w:w="1037" w:type="dxa"/>
            <w:vMerge w:val="continue"/>
            <w:vAlign w:val="center"/>
          </w:tcPr>
          <w:p>
            <w:pPr>
              <w:jc w:val="center"/>
              <w:rPr>
                <w:rFonts w:ascii="Times New Roman" w:hAnsi="Times New Roman" w:eastAsia="宋体" w:cs="Times New Roman"/>
                <w:kern w:val="0"/>
                <w:sz w:val="20"/>
                <w:szCs w:val="21"/>
              </w:rPr>
            </w:pPr>
          </w:p>
        </w:tc>
        <w:tc>
          <w:tcPr>
            <w:tcW w:w="1037" w:type="dxa"/>
            <w:vMerge w:val="continue"/>
            <w:vAlign w:val="center"/>
          </w:tcPr>
          <w:p>
            <w:pPr>
              <w:jc w:val="center"/>
              <w:rPr>
                <w:rFonts w:ascii="Times New Roman" w:hAnsi="Times New Roman" w:eastAsia="宋体" w:cs="Times New Roman"/>
                <w:kern w:val="0"/>
                <w:sz w:val="20"/>
                <w:szCs w:val="21"/>
              </w:rPr>
            </w:pPr>
          </w:p>
        </w:tc>
        <w:tc>
          <w:tcPr>
            <w:tcW w:w="1037" w:type="dxa"/>
            <w:vMerge w:val="continue"/>
            <w:vAlign w:val="center"/>
          </w:tcPr>
          <w:p>
            <w:pPr>
              <w:jc w:val="center"/>
              <w:rPr>
                <w:rFonts w:ascii="Times New Roman" w:hAnsi="Times New Roman" w:eastAsia="宋体" w:cs="Times New Roman"/>
                <w:kern w:val="0"/>
                <w:sz w:val="20"/>
                <w:szCs w:val="21"/>
              </w:rPr>
            </w:pPr>
          </w:p>
        </w:tc>
        <w:tc>
          <w:tcPr>
            <w:tcW w:w="1037" w:type="dxa"/>
            <w:vMerge w:val="continue"/>
            <w:vAlign w:val="center"/>
          </w:tcPr>
          <w:p>
            <w:pPr>
              <w:jc w:val="center"/>
              <w:rPr>
                <w:rFonts w:ascii="Times New Roman" w:hAnsi="Times New Roman" w:eastAsia="宋体" w:cs="Times New Roman"/>
                <w:kern w:val="0"/>
                <w:sz w:val="20"/>
                <w:szCs w:val="21"/>
              </w:rPr>
            </w:pPr>
          </w:p>
        </w:tc>
        <w:tc>
          <w:tcPr>
            <w:tcW w:w="1037" w:type="dxa"/>
            <w:tcBorders>
              <w:top w:val="single" w:color="auto" w:sz="4" w:space="0"/>
            </w:tcBorders>
            <w:vAlign w:val="center"/>
          </w:tcPr>
          <w:p>
            <w:pPr>
              <w:jc w:val="center"/>
              <w:rPr>
                <w:rFonts w:ascii="Times New Roman" w:hAnsi="Times New Roman" w:eastAsia="宋体" w:cs="Times New Roman"/>
                <w:kern w:val="0"/>
                <w:sz w:val="20"/>
                <w:szCs w:val="21"/>
              </w:rPr>
            </w:pPr>
          </w:p>
        </w:tc>
        <w:tc>
          <w:tcPr>
            <w:tcW w:w="1037" w:type="dxa"/>
            <w:tcBorders>
              <w:top w:val="single" w:color="auto" w:sz="4" w:space="0"/>
            </w:tcBorders>
            <w:vAlign w:val="center"/>
          </w:tcPr>
          <w:p>
            <w:pPr>
              <w:jc w:val="center"/>
              <w:rPr>
                <w:rFonts w:ascii="Times New Roman" w:hAnsi="Times New Roman" w:eastAsia="宋体" w:cs="Times New Roman"/>
                <w:kern w:val="0"/>
                <w:sz w:val="20"/>
                <w:szCs w:val="21"/>
              </w:rPr>
            </w:pPr>
          </w:p>
        </w:tc>
        <w:tc>
          <w:tcPr>
            <w:tcW w:w="1037" w:type="dxa"/>
            <w:vMerge w:val="continue"/>
            <w:tcBorders>
              <w:top w:val="nil"/>
            </w:tcBorders>
            <w:vAlign w:val="center"/>
          </w:tcPr>
          <w:p>
            <w:pPr>
              <w:jc w:val="center"/>
              <w:rPr>
                <w:rFonts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vMerge w:val="continue"/>
            <w:vAlign w:val="center"/>
          </w:tcPr>
          <w:p>
            <w:pPr>
              <w:jc w:val="center"/>
              <w:rPr>
                <w:rFonts w:ascii="Times New Roman" w:hAnsi="Times New Roman" w:eastAsia="宋体" w:cs="Times New Roman"/>
                <w:kern w:val="0"/>
                <w:sz w:val="20"/>
                <w:szCs w:val="21"/>
              </w:rPr>
            </w:pPr>
          </w:p>
        </w:tc>
        <w:tc>
          <w:tcPr>
            <w:tcW w:w="1037" w:type="dxa"/>
            <w:vMerge w:val="continue"/>
            <w:vAlign w:val="center"/>
          </w:tcPr>
          <w:p>
            <w:pPr>
              <w:jc w:val="center"/>
              <w:rPr>
                <w:rFonts w:ascii="Times New Roman" w:hAnsi="Times New Roman" w:eastAsia="宋体" w:cs="Times New Roman"/>
                <w:kern w:val="0"/>
                <w:sz w:val="20"/>
                <w:szCs w:val="21"/>
              </w:rPr>
            </w:pPr>
          </w:p>
        </w:tc>
        <w:tc>
          <w:tcPr>
            <w:tcW w:w="1037" w:type="dxa"/>
            <w:vMerge w:val="continue"/>
            <w:vAlign w:val="center"/>
          </w:tcPr>
          <w:p>
            <w:pPr>
              <w:jc w:val="center"/>
              <w:rPr>
                <w:rFonts w:ascii="Times New Roman" w:hAnsi="Times New Roman" w:eastAsia="宋体" w:cs="Times New Roman"/>
                <w:kern w:val="0"/>
                <w:sz w:val="20"/>
                <w:szCs w:val="21"/>
              </w:rPr>
            </w:pPr>
          </w:p>
        </w:tc>
        <w:tc>
          <w:tcPr>
            <w:tcW w:w="1037" w:type="dxa"/>
            <w:vMerge w:val="continue"/>
            <w:vAlign w:val="center"/>
          </w:tcPr>
          <w:p>
            <w:pPr>
              <w:jc w:val="center"/>
              <w:rPr>
                <w:rFonts w:ascii="Times New Roman" w:hAnsi="Times New Roman" w:eastAsia="宋体" w:cs="Times New Roman"/>
                <w:kern w:val="0"/>
                <w:sz w:val="20"/>
                <w:szCs w:val="21"/>
              </w:rPr>
            </w:pPr>
          </w:p>
        </w:tc>
        <w:tc>
          <w:tcPr>
            <w:tcW w:w="1037" w:type="dxa"/>
            <w:vMerge w:val="continue"/>
            <w:vAlign w:val="center"/>
          </w:tcPr>
          <w:p>
            <w:pPr>
              <w:jc w:val="center"/>
              <w:rPr>
                <w:rFonts w:ascii="Times New Roman" w:hAnsi="Times New Roman" w:eastAsia="宋体" w:cs="Times New Roman"/>
                <w:kern w:val="0"/>
                <w:sz w:val="20"/>
                <w:szCs w:val="21"/>
              </w:rPr>
            </w:pPr>
          </w:p>
        </w:tc>
        <w:tc>
          <w:tcPr>
            <w:tcW w:w="1037" w:type="dxa"/>
            <w:vMerge w:val="continue"/>
            <w:vAlign w:val="center"/>
          </w:tcPr>
          <w:p>
            <w:pPr>
              <w:jc w:val="center"/>
              <w:rPr>
                <w:rFonts w:ascii="Times New Roman" w:hAnsi="Times New Roman" w:eastAsia="宋体" w:cs="Times New Roman"/>
                <w:kern w:val="0"/>
                <w:sz w:val="20"/>
                <w:szCs w:val="21"/>
              </w:rPr>
            </w:pPr>
          </w:p>
        </w:tc>
        <w:tc>
          <w:tcPr>
            <w:tcW w:w="1037"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w:t>
            </w:r>
          </w:p>
        </w:tc>
        <w:tc>
          <w:tcPr>
            <w:tcW w:w="1037" w:type="dxa"/>
            <w:vAlign w:val="center"/>
          </w:tcPr>
          <w:p>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w:t>
            </w:r>
          </w:p>
        </w:tc>
        <w:tc>
          <w:tcPr>
            <w:tcW w:w="1037" w:type="dxa"/>
            <w:vMerge w:val="continue"/>
            <w:vAlign w:val="center"/>
          </w:tcPr>
          <w:p>
            <w:pPr>
              <w:jc w:val="center"/>
              <w:rPr>
                <w:rFonts w:ascii="Times New Roman" w:hAnsi="Times New Roman" w:eastAsia="宋体" w:cs="Times New Roman"/>
                <w:kern w:val="0"/>
                <w:sz w:val="20"/>
                <w:szCs w:val="21"/>
              </w:rPr>
            </w:pPr>
          </w:p>
        </w:tc>
      </w:tr>
    </w:tbl>
    <w:p>
      <w:pPr>
        <w:ind w:firstLine="420" w:firstLineChars="200"/>
        <w:rPr>
          <w:rFonts w:ascii="Times New Roman" w:hAnsi="Times New Roman" w:eastAsia="楷体" w:cs="Times New Roman"/>
          <w:szCs w:val="28"/>
        </w:rPr>
      </w:pPr>
      <w:r>
        <w:rPr>
          <w:rFonts w:ascii="Times New Roman" w:hAnsi="Times New Roman" w:eastAsia="楷体" w:cs="Times New Roman"/>
          <w:szCs w:val="28"/>
        </w:rPr>
        <w:t>填表说明：1.证书指的是在院校内试点实施的X证书。</w:t>
      </w:r>
    </w:p>
    <w:p>
      <w:pPr>
        <w:ind w:firstLine="1470" w:firstLineChars="700"/>
        <w:rPr>
          <w:rFonts w:ascii="Times New Roman" w:hAnsi="Times New Roman" w:eastAsia="楷体" w:cs="Times New Roman"/>
          <w:szCs w:val="28"/>
        </w:rPr>
      </w:pPr>
      <w:r>
        <w:rPr>
          <w:rFonts w:ascii="Times New Roman" w:hAnsi="Times New Roman" w:eastAsia="楷体" w:cs="Times New Roman"/>
          <w:szCs w:val="28"/>
        </w:rPr>
        <w:t>2.证书等级填写“初级”、“中级”、“高级”。</w:t>
      </w:r>
    </w:p>
    <w:p>
      <w:pPr>
        <w:ind w:firstLine="1470" w:firstLineChars="700"/>
        <w:rPr>
          <w:rFonts w:ascii="Times New Roman" w:hAnsi="Times New Roman" w:eastAsia="楷体" w:cs="Times New Roman"/>
          <w:szCs w:val="28"/>
        </w:rPr>
      </w:pPr>
      <w:r>
        <w:rPr>
          <w:rFonts w:ascii="Times New Roman" w:hAnsi="Times New Roman" w:eastAsia="楷体" w:cs="Times New Roman"/>
          <w:szCs w:val="28"/>
        </w:rPr>
        <w:t>3.层次填写“中职”、“高职”、“应用本科”。</w:t>
      </w:r>
    </w:p>
    <w:p>
      <w:pPr>
        <w:ind w:firstLine="1470" w:firstLineChars="700"/>
        <w:rPr>
          <w:rFonts w:ascii="Times New Roman" w:hAnsi="Times New Roman" w:eastAsia="楷体" w:cs="Times New Roman"/>
          <w:szCs w:val="28"/>
        </w:rPr>
      </w:pPr>
      <w:r>
        <w:rPr>
          <w:rFonts w:ascii="Times New Roman" w:hAnsi="Times New Roman" w:eastAsia="楷体" w:cs="Times New Roman"/>
          <w:szCs w:val="28"/>
        </w:rPr>
        <w:t>4.备注说明学分转换的具体要求。</w:t>
      </w:r>
    </w:p>
    <w:p>
      <w:pPr>
        <w:widowControl/>
        <w:jc w:val="lef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7E"/>
    <w:rsid w:val="00087B2D"/>
    <w:rsid w:val="002215FA"/>
    <w:rsid w:val="004C1B97"/>
    <w:rsid w:val="00510A62"/>
    <w:rsid w:val="00584EDF"/>
    <w:rsid w:val="005E63A2"/>
    <w:rsid w:val="005F0DA0"/>
    <w:rsid w:val="006C610B"/>
    <w:rsid w:val="009246E8"/>
    <w:rsid w:val="00952C2F"/>
    <w:rsid w:val="00CB0D7A"/>
    <w:rsid w:val="00ED437E"/>
    <w:rsid w:val="00EF3D02"/>
    <w:rsid w:val="08823D03"/>
    <w:rsid w:val="2C210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122</Words>
  <Characters>699</Characters>
  <Lines>5</Lines>
  <Paragraphs>1</Paragraphs>
  <TotalTime>0</TotalTime>
  <ScaleCrop>false</ScaleCrop>
  <LinksUpToDate>false</LinksUpToDate>
  <CharactersWithSpaces>820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2020-12-07T08:06:00Z</dcterms:created>
  <dc:creator>曲克晨</dc:creator>
  <cp:lastModifiedBy>admin</cp:lastModifiedBy>
  <cp:lastPrinted>2020-12-07T08:25:00Z</cp:lastPrinted>
  <dcterms:modified xsi:type="dcterms:W3CDTF">2020-12-31T09:10:31Z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