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hint="eastAsia" w:cs="宋体"/>
          <w:b/>
          <w:bCs/>
          <w:color w:val="000000" w:themeColor="text1"/>
          <w:kern w:val="0"/>
          <w:sz w:val="44"/>
          <w:szCs w:val="44"/>
          <w:lang w:eastAsia="zh-CN"/>
          <w14:textFill>
            <w14:solidFill>
              <w14:schemeClr w14:val="tx1"/>
            </w14:solidFill>
          </w14:textFill>
        </w:rPr>
      </w:pPr>
    </w:p>
    <w:p>
      <w:pPr>
        <w:spacing w:line="360" w:lineRule="auto"/>
        <w:ind w:firstLine="883" w:firstLineChars="200"/>
        <w:jc w:val="center"/>
        <w:rPr>
          <w:rFonts w:hint="eastAsia" w:cs="宋体"/>
          <w:b/>
          <w:bCs/>
          <w:color w:val="000000" w:themeColor="text1"/>
          <w:kern w:val="0"/>
          <w:sz w:val="44"/>
          <w:szCs w:val="44"/>
          <w14:textFill>
            <w14:solidFill>
              <w14:schemeClr w14:val="tx1"/>
            </w14:solidFill>
          </w14:textFill>
        </w:rPr>
      </w:pPr>
      <w:r>
        <w:rPr>
          <w:rFonts w:hint="eastAsia" w:cs="宋体"/>
          <w:b/>
          <w:bCs/>
          <w:color w:val="000000" w:themeColor="text1"/>
          <w:kern w:val="0"/>
          <w:sz w:val="44"/>
          <w:szCs w:val="44"/>
          <w:lang w:val="en-US" w:eastAsia="zh-CN"/>
          <w14:textFill>
            <w14:solidFill>
              <w14:schemeClr w14:val="tx1"/>
            </w14:solidFill>
          </w14:textFill>
        </w:rPr>
        <w:t>2022级大数据与</w:t>
      </w:r>
      <w:r>
        <w:rPr>
          <w:rFonts w:hint="eastAsia" w:cs="宋体"/>
          <w:b/>
          <w:bCs/>
          <w:color w:val="000000" w:themeColor="text1"/>
          <w:kern w:val="0"/>
          <w:sz w:val="44"/>
          <w:szCs w:val="44"/>
          <w:lang w:eastAsia="zh-CN"/>
          <w14:textFill>
            <w14:solidFill>
              <w14:schemeClr w14:val="tx1"/>
            </w14:solidFill>
          </w14:textFill>
        </w:rPr>
        <w:t>财务管理</w:t>
      </w:r>
      <w:r>
        <w:rPr>
          <w:rFonts w:cs="宋体"/>
          <w:b/>
          <w:bCs/>
          <w:color w:val="000000" w:themeColor="text1"/>
          <w:kern w:val="0"/>
          <w:sz w:val="44"/>
          <w:szCs w:val="44"/>
          <w14:textFill>
            <w14:solidFill>
              <w14:schemeClr w14:val="tx1"/>
            </w14:solidFill>
          </w14:textFill>
        </w:rPr>
        <w:t>专业</w:t>
      </w:r>
      <w:r>
        <w:rPr>
          <w:rFonts w:hint="eastAsia" w:cs="宋体"/>
          <w:b/>
          <w:bCs/>
          <w:color w:val="000000" w:themeColor="text1"/>
          <w:kern w:val="0"/>
          <w:sz w:val="44"/>
          <w:szCs w:val="44"/>
          <w14:textFill>
            <w14:solidFill>
              <w14:schemeClr w14:val="tx1"/>
            </w14:solidFill>
          </w14:textFill>
        </w:rPr>
        <w:t>专升本</w:t>
      </w:r>
    </w:p>
    <w:p>
      <w:pPr>
        <w:spacing w:line="360" w:lineRule="auto"/>
        <w:ind w:firstLine="883" w:firstLineChars="200"/>
        <w:jc w:val="center"/>
        <w:rPr>
          <w:rFonts w:cs="宋体"/>
          <w:b/>
          <w:bCs/>
          <w:color w:val="000000" w:themeColor="text1"/>
          <w:kern w:val="0"/>
          <w:sz w:val="44"/>
          <w:szCs w:val="44"/>
          <w14:textFill>
            <w14:solidFill>
              <w14:schemeClr w14:val="tx1"/>
            </w14:solidFill>
          </w14:textFill>
        </w:rPr>
      </w:pPr>
      <w:r>
        <w:rPr>
          <w:rFonts w:hint="eastAsia" w:cs="宋体"/>
          <w:b/>
          <w:bCs/>
          <w:color w:val="000000" w:themeColor="text1"/>
          <w:kern w:val="0"/>
          <w:sz w:val="44"/>
          <w:szCs w:val="44"/>
          <w:lang w:eastAsia="zh-CN"/>
          <w14:textFill>
            <w14:solidFill>
              <w14:schemeClr w14:val="tx1"/>
            </w14:solidFill>
          </w14:textFill>
        </w:rPr>
        <w:t>联合</w:t>
      </w:r>
      <w:r>
        <w:rPr>
          <w:rFonts w:cs="宋体"/>
          <w:b/>
          <w:bCs/>
          <w:color w:val="000000" w:themeColor="text1"/>
          <w:kern w:val="0"/>
          <w:sz w:val="44"/>
          <w:szCs w:val="44"/>
          <w14:textFill>
            <w14:solidFill>
              <w14:schemeClr w14:val="tx1"/>
            </w14:solidFill>
          </w14:textFill>
        </w:rPr>
        <w:t>人才培养方案</w:t>
      </w:r>
    </w:p>
    <w:p>
      <w:pPr>
        <w:spacing w:line="360" w:lineRule="auto"/>
        <w:ind w:firstLine="883" w:firstLineChars="200"/>
        <w:jc w:val="center"/>
        <w:rPr>
          <w:rFonts w:cs="宋体"/>
          <w:b/>
          <w:bCs/>
          <w:color w:val="000000" w:themeColor="text1"/>
          <w:kern w:val="0"/>
          <w:sz w:val="44"/>
          <w:szCs w:val="44"/>
          <w14:textFill>
            <w14:solidFill>
              <w14:schemeClr w14:val="tx1"/>
            </w14:solidFill>
          </w14:textFill>
        </w:rPr>
      </w:pPr>
    </w:p>
    <w:p>
      <w:pPr>
        <w:pStyle w:val="2"/>
        <w:spacing w:before="0" w:after="0" w:line="240" w:lineRule="auto"/>
        <w:rPr>
          <w:sz w:val="28"/>
          <w:szCs w:val="28"/>
        </w:rPr>
      </w:pPr>
      <w:r>
        <w:rPr>
          <w:rFonts w:hint="eastAsia"/>
          <w:sz w:val="28"/>
          <w:szCs w:val="28"/>
        </w:rPr>
        <w:t>一、专业名称与代码</w:t>
      </w:r>
    </w:p>
    <w:p>
      <w:pPr>
        <w:ind w:left="1260" w:leftChars="700"/>
        <w:rPr>
          <w:rFonts w:hint="eastAsia" w:eastAsia="宋体"/>
          <w:sz w:val="28"/>
          <w:lang w:eastAsia="zh-CN"/>
        </w:rPr>
      </w:pPr>
      <w:r>
        <w:rPr>
          <w:rFonts w:hint="eastAsia"/>
          <w:b/>
          <w:sz w:val="28"/>
        </w:rPr>
        <w:t>（一）专业名称：</w:t>
      </w:r>
      <w:r>
        <w:rPr>
          <w:rFonts w:hint="eastAsia"/>
          <w:b/>
          <w:sz w:val="28"/>
          <w:lang w:eastAsia="zh-CN"/>
        </w:rPr>
        <w:t>大数据</w:t>
      </w:r>
      <w:r>
        <w:rPr>
          <w:rFonts w:hint="eastAsia"/>
          <w:b/>
          <w:sz w:val="28"/>
          <w:lang w:val="en-US" w:eastAsia="zh-CN"/>
        </w:rPr>
        <w:t>与</w:t>
      </w:r>
      <w:r>
        <w:rPr>
          <w:rFonts w:hint="eastAsia"/>
          <w:b/>
          <w:sz w:val="28"/>
          <w:lang w:eastAsia="zh-CN"/>
        </w:rPr>
        <w:t>财务管理</w:t>
      </w:r>
    </w:p>
    <w:p>
      <w:pPr>
        <w:ind w:left="1260" w:leftChars="700"/>
        <w:rPr>
          <w:rFonts w:hint="default" w:eastAsia="宋体"/>
          <w:sz w:val="28"/>
          <w:lang w:val="en-US" w:eastAsia="zh-CN"/>
        </w:rPr>
      </w:pPr>
      <w:r>
        <w:rPr>
          <w:rFonts w:hint="eastAsia"/>
          <w:b/>
          <w:sz w:val="28"/>
        </w:rPr>
        <w:t>（二）专业代码：</w:t>
      </w:r>
      <w:r>
        <w:rPr>
          <w:rFonts w:hint="eastAsia"/>
          <w:b/>
          <w:sz w:val="28"/>
          <w:lang w:val="en-US" w:eastAsia="zh-CN"/>
        </w:rPr>
        <w:t>330301</w:t>
      </w:r>
    </w:p>
    <w:p>
      <w:pPr>
        <w:pStyle w:val="2"/>
        <w:spacing w:before="0" w:after="0" w:line="240" w:lineRule="auto"/>
        <w:rPr>
          <w:sz w:val="28"/>
          <w:szCs w:val="28"/>
        </w:rPr>
      </w:pPr>
      <w:r>
        <w:rPr>
          <w:rFonts w:hint="eastAsia"/>
          <w:sz w:val="28"/>
          <w:szCs w:val="28"/>
        </w:rPr>
        <w:t>二、教育类型及学历层次</w:t>
      </w:r>
    </w:p>
    <w:p>
      <w:pPr>
        <w:ind w:left="1260" w:leftChars="700"/>
        <w:rPr>
          <w:sz w:val="28"/>
        </w:rPr>
      </w:pPr>
      <w:r>
        <w:rPr>
          <w:rFonts w:hint="eastAsia"/>
          <w:b/>
          <w:sz w:val="28"/>
        </w:rPr>
        <w:t>（一）教育类型：</w:t>
      </w:r>
      <w:r>
        <w:rPr>
          <w:rFonts w:hint="eastAsia"/>
          <w:sz w:val="28"/>
        </w:rPr>
        <w:t>高等职业教育</w:t>
      </w:r>
    </w:p>
    <w:p>
      <w:pPr>
        <w:ind w:left="1260" w:leftChars="700"/>
        <w:rPr>
          <w:sz w:val="28"/>
        </w:rPr>
      </w:pPr>
      <w:r>
        <w:rPr>
          <w:rFonts w:hint="eastAsia"/>
          <w:b/>
          <w:sz w:val="28"/>
        </w:rPr>
        <w:t>（二）学历层次：</w:t>
      </w:r>
      <w:r>
        <w:rPr>
          <w:rFonts w:hint="eastAsia"/>
          <w:sz w:val="28"/>
        </w:rPr>
        <w:t>高职专科起点本科教育</w:t>
      </w:r>
    </w:p>
    <w:p>
      <w:pPr>
        <w:pStyle w:val="2"/>
        <w:spacing w:before="0" w:after="0" w:line="240" w:lineRule="auto"/>
        <w:rPr>
          <w:sz w:val="28"/>
          <w:szCs w:val="28"/>
        </w:rPr>
      </w:pPr>
      <w:r>
        <w:rPr>
          <w:rFonts w:hint="eastAsia"/>
          <w:sz w:val="28"/>
          <w:szCs w:val="28"/>
        </w:rPr>
        <w:t>三、招生对象、学制与学位：</w:t>
      </w:r>
    </w:p>
    <w:p>
      <w:pPr>
        <w:ind w:left="1260" w:leftChars="700"/>
        <w:rPr>
          <w:sz w:val="28"/>
        </w:rPr>
      </w:pPr>
      <w:r>
        <w:rPr>
          <w:rFonts w:hint="eastAsia"/>
          <w:b/>
          <w:sz w:val="28"/>
        </w:rPr>
        <w:t>（一）招生对象：</w:t>
      </w:r>
      <w:r>
        <w:rPr>
          <w:rFonts w:hint="eastAsia"/>
          <w:b w:val="0"/>
          <w:bCs/>
          <w:sz w:val="28"/>
          <w:lang w:eastAsia="zh-CN"/>
        </w:rPr>
        <w:t>财务管理</w:t>
      </w:r>
      <w:r>
        <w:rPr>
          <w:sz w:val="28"/>
        </w:rPr>
        <w:t>、</w:t>
      </w:r>
      <w:r>
        <w:rPr>
          <w:rFonts w:hint="eastAsia"/>
          <w:sz w:val="28"/>
          <w:lang w:eastAsia="zh-CN"/>
        </w:rPr>
        <w:t>会计</w:t>
      </w:r>
      <w:r>
        <w:rPr>
          <w:sz w:val="28"/>
        </w:rPr>
        <w:t>专业高职应届毕业生</w:t>
      </w:r>
    </w:p>
    <w:p>
      <w:pPr>
        <w:ind w:left="1260" w:leftChars="700"/>
        <w:rPr>
          <w:sz w:val="28"/>
        </w:rPr>
      </w:pPr>
      <w:r>
        <w:rPr>
          <w:rFonts w:hint="eastAsia"/>
          <w:b/>
          <w:sz w:val="28"/>
        </w:rPr>
        <w:t>（二）学制：</w:t>
      </w:r>
      <w:r>
        <w:rPr>
          <w:rFonts w:hint="eastAsia"/>
          <w:sz w:val="28"/>
        </w:rPr>
        <w:t>基本学制</w:t>
      </w:r>
      <w:r>
        <w:rPr>
          <w:sz w:val="28"/>
        </w:rPr>
        <w:t>2年，弹性</w:t>
      </w:r>
      <w:r>
        <w:rPr>
          <w:rFonts w:hint="eastAsia"/>
          <w:sz w:val="28"/>
        </w:rPr>
        <w:t>修业年限</w:t>
      </w:r>
      <w:r>
        <w:rPr>
          <w:sz w:val="28"/>
        </w:rPr>
        <w:t>2～4年</w:t>
      </w:r>
    </w:p>
    <w:p>
      <w:pPr>
        <w:ind w:left="1260" w:leftChars="700"/>
        <w:rPr>
          <w:sz w:val="28"/>
        </w:rPr>
      </w:pPr>
      <w:r>
        <w:rPr>
          <w:rFonts w:hint="eastAsia"/>
          <w:b/>
          <w:sz w:val="28"/>
        </w:rPr>
        <w:t>（三）授予学位：</w:t>
      </w:r>
      <w:r>
        <w:rPr>
          <w:rFonts w:hint="eastAsia"/>
          <w:b/>
          <w:sz w:val="28"/>
          <w:lang w:eastAsia="zh-CN"/>
        </w:rPr>
        <w:t>管理学</w:t>
      </w:r>
      <w:r>
        <w:rPr>
          <w:rFonts w:hint="eastAsia"/>
          <w:sz w:val="28"/>
        </w:rPr>
        <w:t>学士</w:t>
      </w:r>
    </w:p>
    <w:p>
      <w:pPr>
        <w:pStyle w:val="2"/>
        <w:spacing w:before="0" w:after="0" w:line="240" w:lineRule="auto"/>
        <w:rPr>
          <w:sz w:val="28"/>
          <w:szCs w:val="28"/>
        </w:rPr>
      </w:pPr>
      <w:r>
        <w:rPr>
          <w:rFonts w:hint="eastAsia"/>
          <w:sz w:val="28"/>
          <w:szCs w:val="28"/>
        </w:rPr>
        <w:t>四、职业面向</w:t>
      </w:r>
    </w:p>
    <w:p>
      <w:pPr>
        <w:ind w:firstLine="560" w:firstLineChars="200"/>
        <w:rPr>
          <w:rFonts w:hint="eastAsia"/>
          <w:sz w:val="28"/>
        </w:rPr>
      </w:pPr>
      <w:r>
        <w:rPr>
          <w:rFonts w:hint="eastAsia"/>
          <w:sz w:val="28"/>
        </w:rPr>
        <w:t>主要面向</w:t>
      </w:r>
      <w:r>
        <w:rPr>
          <w:rFonts w:hint="eastAsia"/>
          <w:sz w:val="28"/>
          <w:lang w:eastAsia="zh-CN"/>
        </w:rPr>
        <w:t>中小型企业</w:t>
      </w:r>
      <w:r>
        <w:rPr>
          <w:rFonts w:hint="eastAsia"/>
          <w:sz w:val="28"/>
        </w:rPr>
        <w:t>、</w:t>
      </w:r>
      <w:r>
        <w:rPr>
          <w:rFonts w:hint="eastAsia"/>
          <w:sz w:val="28"/>
          <w:lang w:eastAsia="zh-CN"/>
        </w:rPr>
        <w:t>金融业、</w:t>
      </w:r>
      <w:r>
        <w:rPr>
          <w:rFonts w:hint="eastAsia"/>
          <w:sz w:val="28"/>
        </w:rPr>
        <w:t>中介服务机构、</w:t>
      </w:r>
      <w:r>
        <w:rPr>
          <w:rFonts w:hint="eastAsia"/>
          <w:sz w:val="28"/>
          <w:lang w:eastAsia="zh-CN"/>
        </w:rPr>
        <w:t>政府部门以及事业</w:t>
      </w:r>
      <w:r>
        <w:rPr>
          <w:rFonts w:hint="eastAsia"/>
          <w:sz w:val="28"/>
        </w:rPr>
        <w:t>单位等的财务管理、会计核算、出纳、纳税申报、以及内部审计等岗位。</w:t>
      </w:r>
    </w:p>
    <w:p>
      <w:pPr>
        <w:ind w:firstLine="562" w:firstLineChars="200"/>
        <w:rPr>
          <w:b/>
          <w:sz w:val="28"/>
        </w:rPr>
      </w:pPr>
      <w:r>
        <w:rPr>
          <w:rFonts w:hint="eastAsia"/>
          <w:b/>
          <w:sz w:val="28"/>
        </w:rPr>
        <w:t>（一）专业面向的岗位（群）</w:t>
      </w:r>
    </w:p>
    <w:p>
      <w:pPr>
        <w:ind w:firstLine="562" w:firstLineChars="200"/>
        <w:rPr>
          <w:b/>
          <w:bCs/>
          <w:sz w:val="28"/>
        </w:rPr>
      </w:pPr>
      <w:r>
        <w:rPr>
          <w:rFonts w:hint="eastAsia"/>
          <w:b/>
          <w:bCs/>
          <w:sz w:val="28"/>
        </w:rPr>
        <w:t>1.专业面向岗位</w:t>
      </w:r>
    </w:p>
    <w:p>
      <w:pPr>
        <w:ind w:firstLine="560" w:firstLineChars="200"/>
        <w:rPr>
          <w:rFonts w:hint="eastAsia"/>
          <w:sz w:val="28"/>
        </w:rPr>
      </w:pPr>
      <w:r>
        <w:rPr>
          <w:rFonts w:hint="eastAsia"/>
          <w:sz w:val="28"/>
        </w:rPr>
        <w:t>主要面向3个岗位群的</w:t>
      </w:r>
      <w:r>
        <w:rPr>
          <w:rFonts w:hint="eastAsia"/>
          <w:sz w:val="28"/>
          <w:lang w:val="en-US" w:eastAsia="zh-CN"/>
        </w:rPr>
        <w:t>9</w:t>
      </w:r>
      <w:r>
        <w:rPr>
          <w:rFonts w:hint="eastAsia"/>
          <w:sz w:val="28"/>
        </w:rPr>
        <w:t>个职业岗位，其中</w:t>
      </w:r>
      <w:r>
        <w:rPr>
          <w:rFonts w:hint="eastAsia"/>
          <w:sz w:val="28"/>
          <w:lang w:val="en-US" w:eastAsia="zh-CN"/>
        </w:rPr>
        <w:t>3</w:t>
      </w:r>
      <w:r>
        <w:rPr>
          <w:rFonts w:hint="eastAsia"/>
          <w:sz w:val="28"/>
        </w:rPr>
        <w:t>个为初始岗位，3个为发展岗位，3个为相关岗位。</w:t>
      </w:r>
    </w:p>
    <w:p>
      <w:pPr>
        <w:ind w:firstLine="560" w:firstLineChars="200"/>
        <w:rPr>
          <w:rFonts w:hint="eastAsia"/>
          <w:sz w:val="28"/>
        </w:rPr>
      </w:pPr>
    </w:p>
    <w:p>
      <w:pPr>
        <w:tabs>
          <w:tab w:val="center" w:pos="4524"/>
        </w:tabs>
        <w:jc w:val="both"/>
        <w:rPr>
          <w:b/>
          <w:bCs/>
          <w:sz w:val="24"/>
        </w:rPr>
      </w:pPr>
    </w:p>
    <w:p>
      <w:pPr>
        <w:tabs>
          <w:tab w:val="center" w:pos="4524"/>
        </w:tabs>
        <w:spacing w:before="156" w:beforeLines="50" w:after="156" w:afterLines="50" w:line="460" w:lineRule="exact"/>
        <w:jc w:val="center"/>
        <w:rPr>
          <w:rFonts w:hint="eastAsia"/>
          <w:b/>
          <w:bCs w:val="0"/>
          <w:color w:val="000000"/>
          <w:sz w:val="28"/>
        </w:rPr>
      </w:pPr>
      <w:r>
        <w:rPr>
          <w:rFonts w:hint="eastAsia"/>
          <w:b/>
          <w:bCs w:val="0"/>
          <w:color w:val="000000"/>
          <w:sz w:val="28"/>
        </w:rPr>
        <w:t>表1  专业面向岗位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852"/>
        <w:gridCol w:w="1853"/>
        <w:gridCol w:w="1853"/>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noWrap w:val="0"/>
            <w:vAlign w:val="center"/>
          </w:tcPr>
          <w:p>
            <w:pPr>
              <w:jc w:val="center"/>
              <w:rPr>
                <w:rFonts w:hint="eastAsia"/>
                <w:b/>
                <w:color w:val="000000"/>
                <w:sz w:val="24"/>
                <w:szCs w:val="24"/>
              </w:rPr>
            </w:pPr>
            <w:r>
              <w:rPr>
                <w:rFonts w:hint="eastAsia"/>
                <w:b/>
                <w:color w:val="000000"/>
                <w:sz w:val="24"/>
                <w:szCs w:val="24"/>
              </w:rPr>
              <w:t>序号</w:t>
            </w:r>
          </w:p>
        </w:tc>
        <w:tc>
          <w:tcPr>
            <w:tcW w:w="1852" w:type="dxa"/>
            <w:noWrap w:val="0"/>
            <w:vAlign w:val="center"/>
          </w:tcPr>
          <w:p>
            <w:pPr>
              <w:jc w:val="center"/>
              <w:rPr>
                <w:rFonts w:hint="eastAsia"/>
                <w:b/>
                <w:color w:val="000000"/>
                <w:sz w:val="24"/>
                <w:szCs w:val="24"/>
              </w:rPr>
            </w:pPr>
            <w:r>
              <w:rPr>
                <w:rFonts w:hint="eastAsia"/>
                <w:b/>
                <w:color w:val="000000"/>
                <w:sz w:val="24"/>
                <w:szCs w:val="24"/>
              </w:rPr>
              <w:t>岗位群</w:t>
            </w:r>
          </w:p>
        </w:tc>
        <w:tc>
          <w:tcPr>
            <w:tcW w:w="1853" w:type="dxa"/>
            <w:noWrap w:val="0"/>
            <w:vAlign w:val="center"/>
          </w:tcPr>
          <w:p>
            <w:pPr>
              <w:jc w:val="center"/>
              <w:rPr>
                <w:rFonts w:hint="eastAsia"/>
                <w:b/>
                <w:color w:val="000000"/>
                <w:sz w:val="24"/>
                <w:szCs w:val="24"/>
              </w:rPr>
            </w:pPr>
            <w:r>
              <w:rPr>
                <w:rFonts w:hint="eastAsia"/>
                <w:b/>
                <w:color w:val="000000"/>
                <w:sz w:val="24"/>
                <w:szCs w:val="24"/>
              </w:rPr>
              <w:t>初始岗位</w:t>
            </w:r>
          </w:p>
        </w:tc>
        <w:tc>
          <w:tcPr>
            <w:tcW w:w="1853" w:type="dxa"/>
            <w:noWrap w:val="0"/>
            <w:vAlign w:val="center"/>
          </w:tcPr>
          <w:p>
            <w:pPr>
              <w:jc w:val="center"/>
              <w:rPr>
                <w:rFonts w:hint="eastAsia"/>
                <w:b/>
                <w:color w:val="000000"/>
                <w:sz w:val="24"/>
                <w:szCs w:val="24"/>
              </w:rPr>
            </w:pPr>
            <w:r>
              <w:rPr>
                <w:rFonts w:hint="eastAsia"/>
                <w:b/>
                <w:color w:val="000000"/>
                <w:sz w:val="24"/>
                <w:szCs w:val="24"/>
              </w:rPr>
              <w:t>发展岗位</w:t>
            </w:r>
          </w:p>
        </w:tc>
        <w:tc>
          <w:tcPr>
            <w:tcW w:w="2507" w:type="dxa"/>
            <w:noWrap w:val="0"/>
            <w:vAlign w:val="center"/>
          </w:tcPr>
          <w:p>
            <w:pPr>
              <w:jc w:val="center"/>
              <w:rPr>
                <w:rFonts w:hint="eastAsia"/>
                <w:b/>
                <w:color w:val="000000"/>
                <w:sz w:val="24"/>
                <w:szCs w:val="24"/>
              </w:rPr>
            </w:pPr>
            <w:r>
              <w:rPr>
                <w:rFonts w:hint="eastAsia"/>
                <w:b/>
                <w:color w:val="000000"/>
                <w:sz w:val="24"/>
                <w:szCs w:val="24"/>
              </w:rPr>
              <w:t>相关岗位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noWrap w:val="0"/>
            <w:vAlign w:val="center"/>
          </w:tcPr>
          <w:p>
            <w:pPr>
              <w:jc w:val="center"/>
              <w:rPr>
                <w:rFonts w:hint="eastAsia"/>
                <w:color w:val="000000"/>
                <w:sz w:val="21"/>
                <w:szCs w:val="21"/>
              </w:rPr>
            </w:pPr>
            <w:r>
              <w:rPr>
                <w:rFonts w:hint="eastAsia"/>
                <w:color w:val="000000"/>
                <w:sz w:val="21"/>
                <w:szCs w:val="21"/>
              </w:rPr>
              <w:t>1</w:t>
            </w:r>
          </w:p>
        </w:tc>
        <w:tc>
          <w:tcPr>
            <w:tcW w:w="1852" w:type="dxa"/>
            <w:noWrap w:val="0"/>
            <w:vAlign w:val="center"/>
          </w:tcPr>
          <w:p>
            <w:pPr>
              <w:jc w:val="center"/>
              <w:rPr>
                <w:rFonts w:hint="eastAsia"/>
                <w:color w:val="000000"/>
                <w:sz w:val="21"/>
                <w:szCs w:val="21"/>
              </w:rPr>
            </w:pPr>
            <w:r>
              <w:rPr>
                <w:rFonts w:hint="eastAsia"/>
                <w:color w:val="000000"/>
                <w:sz w:val="21"/>
                <w:szCs w:val="21"/>
              </w:rPr>
              <w:t>企事业单位财务管理</w:t>
            </w:r>
          </w:p>
        </w:tc>
        <w:tc>
          <w:tcPr>
            <w:tcW w:w="1853" w:type="dxa"/>
            <w:noWrap w:val="0"/>
            <w:vAlign w:val="center"/>
          </w:tcPr>
          <w:p>
            <w:pPr>
              <w:jc w:val="center"/>
              <w:rPr>
                <w:rFonts w:hint="eastAsia"/>
                <w:color w:val="000000"/>
                <w:sz w:val="21"/>
                <w:szCs w:val="21"/>
              </w:rPr>
            </w:pPr>
            <w:r>
              <w:rPr>
                <w:rFonts w:hint="eastAsia"/>
                <w:color w:val="000000"/>
                <w:sz w:val="21"/>
                <w:szCs w:val="21"/>
              </w:rPr>
              <w:t>财务预算与决算（一般财务管理人员）</w:t>
            </w:r>
          </w:p>
        </w:tc>
        <w:tc>
          <w:tcPr>
            <w:tcW w:w="1853" w:type="dxa"/>
            <w:noWrap w:val="0"/>
            <w:vAlign w:val="center"/>
          </w:tcPr>
          <w:p>
            <w:pPr>
              <w:jc w:val="center"/>
              <w:rPr>
                <w:rFonts w:hint="eastAsia"/>
                <w:color w:val="000000"/>
                <w:sz w:val="21"/>
                <w:szCs w:val="21"/>
              </w:rPr>
            </w:pPr>
            <w:r>
              <w:rPr>
                <w:rFonts w:hint="eastAsia"/>
                <w:color w:val="000000"/>
                <w:sz w:val="21"/>
                <w:szCs w:val="21"/>
              </w:rPr>
              <w:t>投融资管理与财务分析（财务主管、财务经理）</w:t>
            </w:r>
          </w:p>
        </w:tc>
        <w:tc>
          <w:tcPr>
            <w:tcW w:w="2507" w:type="dxa"/>
            <w:noWrap w:val="0"/>
            <w:vAlign w:val="center"/>
          </w:tcPr>
          <w:p>
            <w:pPr>
              <w:jc w:val="center"/>
              <w:rPr>
                <w:rFonts w:hint="eastAsia"/>
                <w:color w:val="000000"/>
                <w:sz w:val="21"/>
                <w:szCs w:val="21"/>
              </w:rPr>
            </w:pPr>
            <w:r>
              <w:rPr>
                <w:rFonts w:hint="eastAsia"/>
                <w:color w:val="000000"/>
                <w:sz w:val="21"/>
                <w:szCs w:val="21"/>
              </w:rPr>
              <w:t>理财顾问、信息咨询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noWrap w:val="0"/>
            <w:vAlign w:val="center"/>
          </w:tcPr>
          <w:p>
            <w:pPr>
              <w:jc w:val="center"/>
              <w:rPr>
                <w:rFonts w:hint="eastAsia"/>
                <w:color w:val="000000"/>
                <w:sz w:val="21"/>
                <w:szCs w:val="21"/>
              </w:rPr>
            </w:pPr>
            <w:r>
              <w:rPr>
                <w:rFonts w:hint="eastAsia"/>
                <w:color w:val="000000"/>
                <w:sz w:val="21"/>
                <w:szCs w:val="21"/>
              </w:rPr>
              <w:t>2</w:t>
            </w:r>
          </w:p>
        </w:tc>
        <w:tc>
          <w:tcPr>
            <w:tcW w:w="1852" w:type="dxa"/>
            <w:noWrap w:val="0"/>
            <w:vAlign w:val="center"/>
          </w:tcPr>
          <w:p>
            <w:pPr>
              <w:jc w:val="center"/>
              <w:rPr>
                <w:rFonts w:hint="eastAsia"/>
                <w:color w:val="000000"/>
                <w:sz w:val="21"/>
                <w:szCs w:val="21"/>
              </w:rPr>
            </w:pPr>
            <w:r>
              <w:rPr>
                <w:rFonts w:hint="eastAsia"/>
                <w:color w:val="000000"/>
                <w:sz w:val="21"/>
                <w:szCs w:val="21"/>
              </w:rPr>
              <w:t>企事业单位会计</w:t>
            </w:r>
          </w:p>
        </w:tc>
        <w:tc>
          <w:tcPr>
            <w:tcW w:w="1853" w:type="dxa"/>
            <w:noWrap w:val="0"/>
            <w:vAlign w:val="top"/>
          </w:tcPr>
          <w:p>
            <w:pPr>
              <w:ind w:firstLine="210" w:firstLineChars="100"/>
              <w:jc w:val="both"/>
              <w:rPr>
                <w:rFonts w:hint="eastAsia"/>
                <w:color w:val="000000"/>
                <w:sz w:val="21"/>
                <w:szCs w:val="21"/>
              </w:rPr>
            </w:pPr>
            <w:r>
              <w:rPr>
                <w:rFonts w:hint="eastAsia"/>
                <w:color w:val="000000"/>
                <w:sz w:val="21"/>
                <w:szCs w:val="21"/>
              </w:rPr>
              <w:t>会计核算</w:t>
            </w:r>
          </w:p>
        </w:tc>
        <w:tc>
          <w:tcPr>
            <w:tcW w:w="1853" w:type="dxa"/>
            <w:noWrap w:val="0"/>
            <w:vAlign w:val="center"/>
          </w:tcPr>
          <w:p>
            <w:pPr>
              <w:jc w:val="center"/>
              <w:rPr>
                <w:rFonts w:hint="eastAsia"/>
                <w:color w:val="000000"/>
                <w:sz w:val="21"/>
                <w:szCs w:val="21"/>
              </w:rPr>
            </w:pPr>
            <w:r>
              <w:rPr>
                <w:rFonts w:hint="eastAsia"/>
                <w:color w:val="000000"/>
                <w:sz w:val="21"/>
                <w:szCs w:val="21"/>
              </w:rPr>
              <w:t>财务主管</w:t>
            </w:r>
          </w:p>
        </w:tc>
        <w:tc>
          <w:tcPr>
            <w:tcW w:w="2507" w:type="dxa"/>
            <w:noWrap w:val="0"/>
            <w:vAlign w:val="center"/>
          </w:tcPr>
          <w:p>
            <w:pPr>
              <w:jc w:val="center"/>
              <w:rPr>
                <w:rFonts w:hint="eastAsia"/>
                <w:color w:val="000000"/>
                <w:sz w:val="21"/>
                <w:szCs w:val="21"/>
              </w:rPr>
            </w:pPr>
            <w:r>
              <w:rPr>
                <w:rFonts w:hint="eastAsia"/>
                <w:color w:val="000000"/>
                <w:sz w:val="21"/>
                <w:szCs w:val="21"/>
              </w:rPr>
              <w:t>内部审计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noWrap w:val="0"/>
            <w:vAlign w:val="center"/>
          </w:tcPr>
          <w:p>
            <w:pPr>
              <w:jc w:val="center"/>
              <w:rPr>
                <w:rFonts w:hint="eastAsia"/>
                <w:color w:val="000000"/>
                <w:sz w:val="21"/>
                <w:szCs w:val="21"/>
              </w:rPr>
            </w:pPr>
            <w:r>
              <w:rPr>
                <w:rFonts w:hint="eastAsia"/>
                <w:color w:val="000000"/>
                <w:sz w:val="21"/>
                <w:szCs w:val="21"/>
              </w:rPr>
              <w:t>3</w:t>
            </w:r>
          </w:p>
        </w:tc>
        <w:tc>
          <w:tcPr>
            <w:tcW w:w="1852" w:type="dxa"/>
            <w:noWrap w:val="0"/>
            <w:vAlign w:val="center"/>
          </w:tcPr>
          <w:p>
            <w:pPr>
              <w:jc w:val="center"/>
              <w:rPr>
                <w:rFonts w:hint="eastAsia"/>
                <w:color w:val="000000"/>
                <w:sz w:val="21"/>
                <w:szCs w:val="21"/>
              </w:rPr>
            </w:pPr>
            <w:r>
              <w:rPr>
                <w:rFonts w:hint="eastAsia"/>
                <w:color w:val="000000"/>
                <w:sz w:val="21"/>
                <w:szCs w:val="21"/>
              </w:rPr>
              <w:t>企事业单位税务核算与申报</w:t>
            </w:r>
          </w:p>
        </w:tc>
        <w:tc>
          <w:tcPr>
            <w:tcW w:w="1853" w:type="dxa"/>
            <w:noWrap w:val="0"/>
            <w:vAlign w:val="center"/>
          </w:tcPr>
          <w:p>
            <w:pPr>
              <w:jc w:val="center"/>
              <w:rPr>
                <w:rFonts w:hint="eastAsia"/>
                <w:color w:val="000000"/>
                <w:sz w:val="21"/>
                <w:szCs w:val="21"/>
              </w:rPr>
            </w:pPr>
            <w:r>
              <w:rPr>
                <w:rFonts w:hint="eastAsia"/>
                <w:color w:val="000000"/>
                <w:sz w:val="21"/>
                <w:szCs w:val="21"/>
              </w:rPr>
              <w:t>税费计算</w:t>
            </w:r>
          </w:p>
        </w:tc>
        <w:tc>
          <w:tcPr>
            <w:tcW w:w="1853" w:type="dxa"/>
            <w:noWrap w:val="0"/>
            <w:vAlign w:val="center"/>
          </w:tcPr>
          <w:p>
            <w:pPr>
              <w:jc w:val="center"/>
              <w:rPr>
                <w:rFonts w:hint="eastAsia"/>
                <w:color w:val="000000"/>
                <w:sz w:val="21"/>
                <w:szCs w:val="21"/>
              </w:rPr>
            </w:pPr>
            <w:r>
              <w:rPr>
                <w:rFonts w:hint="eastAsia"/>
                <w:color w:val="000000"/>
                <w:sz w:val="21"/>
                <w:szCs w:val="21"/>
              </w:rPr>
              <w:t>纳税申报</w:t>
            </w:r>
          </w:p>
        </w:tc>
        <w:tc>
          <w:tcPr>
            <w:tcW w:w="2507" w:type="dxa"/>
            <w:noWrap w:val="0"/>
            <w:vAlign w:val="center"/>
          </w:tcPr>
          <w:p>
            <w:pPr>
              <w:jc w:val="center"/>
              <w:rPr>
                <w:rFonts w:hint="eastAsia"/>
                <w:color w:val="000000"/>
                <w:sz w:val="21"/>
                <w:szCs w:val="21"/>
              </w:rPr>
            </w:pPr>
            <w:r>
              <w:rPr>
                <w:rFonts w:hint="eastAsia"/>
                <w:color w:val="000000"/>
                <w:sz w:val="21"/>
                <w:szCs w:val="21"/>
              </w:rPr>
              <w:t>企业成本核算</w:t>
            </w:r>
          </w:p>
        </w:tc>
      </w:tr>
    </w:tbl>
    <w:p>
      <w:pPr>
        <w:numPr>
          <w:ilvl w:val="0"/>
          <w:numId w:val="1"/>
        </w:numPr>
        <w:rPr>
          <w:rFonts w:hint="eastAsia"/>
          <w:b/>
          <w:bCs/>
          <w:sz w:val="28"/>
        </w:rPr>
      </w:pPr>
      <w:r>
        <w:rPr>
          <w:rFonts w:hint="eastAsia"/>
          <w:b/>
          <w:bCs/>
          <w:sz w:val="28"/>
        </w:rPr>
        <w:t>学生职业发展路线</w:t>
      </w:r>
    </w:p>
    <w:p>
      <w:pPr>
        <w:tabs>
          <w:tab w:val="center" w:pos="4524"/>
        </w:tabs>
        <w:spacing w:before="156" w:beforeLines="50" w:after="156" w:afterLines="50" w:line="460" w:lineRule="exact"/>
        <w:jc w:val="center"/>
        <w:rPr>
          <w:rFonts w:hint="eastAsia"/>
          <w:b/>
          <w:bCs/>
          <w:sz w:val="28"/>
        </w:rPr>
      </w:pPr>
      <w:r>
        <w:rPr>
          <w:rFonts w:hint="eastAsia"/>
          <w:b/>
          <w:bCs w:val="0"/>
          <w:color w:val="000000"/>
          <w:sz w:val="28"/>
        </w:rPr>
        <w:t>表2  学生职业发展路线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160"/>
        <w:gridCol w:w="5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noWrap w:val="0"/>
            <w:vAlign w:val="top"/>
          </w:tcPr>
          <w:p>
            <w:pPr>
              <w:jc w:val="center"/>
              <w:rPr>
                <w:rFonts w:hint="eastAsia"/>
                <w:b/>
                <w:color w:val="000000"/>
                <w:sz w:val="24"/>
                <w:szCs w:val="24"/>
              </w:rPr>
            </w:pPr>
            <w:r>
              <w:rPr>
                <w:rFonts w:hint="eastAsia"/>
                <w:b/>
                <w:color w:val="000000"/>
                <w:sz w:val="24"/>
                <w:szCs w:val="24"/>
              </w:rPr>
              <w:t>职业发展阶段</w:t>
            </w:r>
          </w:p>
        </w:tc>
        <w:tc>
          <w:tcPr>
            <w:tcW w:w="2160" w:type="dxa"/>
            <w:noWrap w:val="0"/>
            <w:vAlign w:val="top"/>
          </w:tcPr>
          <w:p>
            <w:pPr>
              <w:jc w:val="center"/>
              <w:rPr>
                <w:rFonts w:hint="eastAsia"/>
                <w:b/>
                <w:color w:val="000000"/>
                <w:sz w:val="24"/>
                <w:szCs w:val="24"/>
              </w:rPr>
            </w:pPr>
            <w:r>
              <w:rPr>
                <w:rFonts w:hint="eastAsia"/>
                <w:b/>
                <w:color w:val="000000"/>
                <w:sz w:val="24"/>
                <w:szCs w:val="24"/>
              </w:rPr>
              <w:t>毕业后工作年限</w:t>
            </w:r>
          </w:p>
        </w:tc>
        <w:tc>
          <w:tcPr>
            <w:tcW w:w="5219" w:type="dxa"/>
            <w:noWrap w:val="0"/>
            <w:vAlign w:val="top"/>
          </w:tcPr>
          <w:p>
            <w:pPr>
              <w:jc w:val="center"/>
              <w:rPr>
                <w:rFonts w:hint="eastAsia"/>
                <w:b/>
                <w:color w:val="000000"/>
                <w:sz w:val="24"/>
                <w:szCs w:val="24"/>
              </w:rPr>
            </w:pPr>
            <w:r>
              <w:rPr>
                <w:rFonts w:hint="eastAsia"/>
                <w:b/>
                <w:color w:val="000000"/>
                <w:sz w:val="24"/>
                <w:szCs w:val="24"/>
              </w:rPr>
              <w:t>岗位群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noWrap w:val="0"/>
            <w:vAlign w:val="center"/>
          </w:tcPr>
          <w:p>
            <w:pPr>
              <w:ind w:firstLine="525" w:firstLineChars="250"/>
              <w:rPr>
                <w:rFonts w:hint="eastAsia"/>
                <w:color w:val="000000"/>
                <w:sz w:val="21"/>
                <w:szCs w:val="21"/>
              </w:rPr>
            </w:pPr>
            <w:r>
              <w:rPr>
                <w:rFonts w:hint="eastAsia"/>
                <w:color w:val="000000"/>
                <w:sz w:val="21"/>
                <w:szCs w:val="21"/>
              </w:rPr>
              <w:t>出纳</w:t>
            </w:r>
          </w:p>
        </w:tc>
        <w:tc>
          <w:tcPr>
            <w:tcW w:w="2160" w:type="dxa"/>
            <w:noWrap w:val="0"/>
            <w:vAlign w:val="center"/>
          </w:tcPr>
          <w:p>
            <w:pPr>
              <w:jc w:val="center"/>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eastAsia="zh-CN"/>
              </w:rPr>
              <w:t>年</w:t>
            </w:r>
          </w:p>
        </w:tc>
        <w:tc>
          <w:tcPr>
            <w:tcW w:w="5219" w:type="dxa"/>
            <w:noWrap w:val="0"/>
            <w:vAlign w:val="top"/>
          </w:tcPr>
          <w:p>
            <w:pPr>
              <w:rPr>
                <w:rFonts w:hint="eastAsia"/>
                <w:color w:val="000000"/>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出纳岗位会计职业岗位中的基层岗位。主要办理库存现金结算与管理；支票、汇票、网银、信用证等常见结算方式与风险管控；日记账设置与登记；货币资金内部控制与余缺管理。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noWrap w:val="0"/>
            <w:vAlign w:val="center"/>
          </w:tcPr>
          <w:p>
            <w:pPr>
              <w:jc w:val="center"/>
              <w:rPr>
                <w:rFonts w:hint="eastAsia"/>
                <w:color w:val="000000"/>
                <w:sz w:val="21"/>
                <w:szCs w:val="21"/>
              </w:rPr>
            </w:pPr>
            <w:r>
              <w:rPr>
                <w:rFonts w:hint="eastAsia"/>
                <w:color w:val="000000"/>
                <w:sz w:val="21"/>
                <w:szCs w:val="21"/>
              </w:rPr>
              <w:t xml:space="preserve"> 会计核算</w:t>
            </w:r>
          </w:p>
        </w:tc>
        <w:tc>
          <w:tcPr>
            <w:tcW w:w="2160" w:type="dxa"/>
            <w:noWrap w:val="0"/>
            <w:vAlign w:val="center"/>
          </w:tcPr>
          <w:p>
            <w:pPr>
              <w:jc w:val="center"/>
              <w:rPr>
                <w:rFonts w:hint="eastAsia"/>
                <w:color w:val="000000"/>
                <w:sz w:val="21"/>
                <w:szCs w:val="21"/>
              </w:rPr>
            </w:pPr>
            <w:r>
              <w:rPr>
                <w:rFonts w:hint="eastAsia"/>
                <w:color w:val="000000"/>
                <w:sz w:val="21"/>
                <w:szCs w:val="21"/>
                <w:lang w:val="en-US" w:eastAsia="zh-CN"/>
              </w:rPr>
              <w:t>2</w:t>
            </w:r>
            <w:r>
              <w:rPr>
                <w:rFonts w:hint="eastAsia"/>
                <w:color w:val="000000"/>
                <w:sz w:val="21"/>
                <w:szCs w:val="21"/>
              </w:rPr>
              <w:t>-3年</w:t>
            </w:r>
          </w:p>
        </w:tc>
        <w:tc>
          <w:tcPr>
            <w:tcW w:w="5219" w:type="dxa"/>
            <w:noWrap w:val="0"/>
            <w:vAlign w:val="top"/>
          </w:tcPr>
          <w:p>
            <w:pPr>
              <w:rPr>
                <w:rFonts w:hint="eastAsia"/>
                <w:color w:val="000000"/>
                <w:sz w:val="21"/>
                <w:szCs w:val="21"/>
              </w:rPr>
            </w:pPr>
            <w:r>
              <w:rPr>
                <w:rFonts w:hint="eastAsia"/>
                <w:color w:val="000000"/>
                <w:sz w:val="21"/>
                <w:szCs w:val="21"/>
              </w:rPr>
              <w:t>会计核算是会计职业岗位群中的核心岗位，包括办税岗位、往来结算岗位、财产物资岗位、职工薪酬岗位、成本核算岗位、总账报表岗位，处理资产核算、权益核算、收益核算、税费计算与申报、产品成本计算与分析、企业财务会计报告编报等岗位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noWrap w:val="0"/>
            <w:vAlign w:val="center"/>
          </w:tcPr>
          <w:p>
            <w:pPr>
              <w:jc w:val="center"/>
              <w:rPr>
                <w:rFonts w:hint="eastAsia"/>
                <w:color w:val="000000"/>
                <w:sz w:val="21"/>
                <w:szCs w:val="21"/>
              </w:rPr>
            </w:pPr>
            <w:r>
              <w:rPr>
                <w:rFonts w:hint="eastAsia"/>
                <w:color w:val="000000"/>
                <w:sz w:val="21"/>
                <w:szCs w:val="21"/>
                <w:lang w:eastAsia="zh-CN"/>
              </w:rPr>
              <w:t>会计</w:t>
            </w:r>
            <w:r>
              <w:rPr>
                <w:rFonts w:hint="eastAsia"/>
                <w:color w:val="000000"/>
                <w:sz w:val="21"/>
                <w:szCs w:val="21"/>
              </w:rPr>
              <w:t>主管</w:t>
            </w:r>
          </w:p>
        </w:tc>
        <w:tc>
          <w:tcPr>
            <w:tcW w:w="2160" w:type="dxa"/>
            <w:noWrap w:val="0"/>
            <w:vAlign w:val="center"/>
          </w:tcPr>
          <w:p>
            <w:pPr>
              <w:jc w:val="center"/>
              <w:rPr>
                <w:rFonts w:hint="eastAsia"/>
                <w:color w:val="000000"/>
                <w:sz w:val="21"/>
                <w:szCs w:val="21"/>
              </w:rPr>
            </w:pPr>
            <w:r>
              <w:rPr>
                <w:rFonts w:hint="eastAsia"/>
                <w:color w:val="000000"/>
                <w:sz w:val="21"/>
                <w:szCs w:val="21"/>
              </w:rPr>
              <w:t>3-4年</w:t>
            </w:r>
          </w:p>
        </w:tc>
        <w:tc>
          <w:tcPr>
            <w:tcW w:w="5219" w:type="dxa"/>
            <w:noWrap w:val="0"/>
            <w:vAlign w:val="top"/>
          </w:tcPr>
          <w:p>
            <w:pPr>
              <w:rPr>
                <w:rFonts w:hint="eastAsia"/>
                <w:color w:val="000000"/>
                <w:sz w:val="21"/>
                <w:szCs w:val="21"/>
              </w:rPr>
            </w:pPr>
            <w:r>
              <w:rPr>
                <w:rFonts w:hint="eastAsia"/>
                <w:color w:val="000000"/>
                <w:sz w:val="21"/>
                <w:szCs w:val="21"/>
              </w:rPr>
              <w:t>会计主管是会计职业岗位群中的提升岗位，主要起控制、统驭的作用，其典型工作任务有财务报表、公司资金运作管理、财务管理与分析、公司重大投资项目的监控及与银行、税务、工商等机构的关系联络等多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noWrap w:val="0"/>
            <w:vAlign w:val="center"/>
          </w:tcPr>
          <w:p>
            <w:pPr>
              <w:jc w:val="center"/>
              <w:rPr>
                <w:rFonts w:hint="eastAsia"/>
                <w:color w:val="000000"/>
                <w:sz w:val="21"/>
                <w:szCs w:val="21"/>
              </w:rPr>
            </w:pPr>
            <w:r>
              <w:rPr>
                <w:rFonts w:hint="eastAsia"/>
                <w:color w:val="000000"/>
                <w:sz w:val="21"/>
                <w:szCs w:val="21"/>
              </w:rPr>
              <w:t>财务经理</w:t>
            </w:r>
          </w:p>
        </w:tc>
        <w:tc>
          <w:tcPr>
            <w:tcW w:w="2160" w:type="dxa"/>
            <w:noWrap w:val="0"/>
            <w:vAlign w:val="center"/>
          </w:tcPr>
          <w:p>
            <w:pPr>
              <w:jc w:val="center"/>
              <w:rPr>
                <w:rFonts w:hint="eastAsia"/>
                <w:color w:val="000000"/>
                <w:sz w:val="21"/>
                <w:szCs w:val="21"/>
              </w:rPr>
            </w:pPr>
            <w:r>
              <w:rPr>
                <w:rFonts w:hint="eastAsia"/>
                <w:color w:val="000000"/>
                <w:sz w:val="21"/>
                <w:szCs w:val="21"/>
              </w:rPr>
              <w:t>5-8年</w:t>
            </w:r>
          </w:p>
        </w:tc>
        <w:tc>
          <w:tcPr>
            <w:tcW w:w="5219" w:type="dxa"/>
            <w:noWrap w:val="0"/>
            <w:vAlign w:val="top"/>
          </w:tcPr>
          <w:p>
            <w:pPr>
              <w:rPr>
                <w:rFonts w:hint="eastAsia"/>
                <w:color w:val="000000"/>
                <w:sz w:val="21"/>
                <w:szCs w:val="21"/>
              </w:rPr>
            </w:pPr>
            <w:r>
              <w:rPr>
                <w:rFonts w:hint="eastAsia"/>
                <w:color w:val="000000"/>
                <w:sz w:val="21"/>
                <w:szCs w:val="21"/>
              </w:rPr>
              <w:t>财务经理是会计职业岗位群中的拓展岗位，主要参与企业内部资金筹集管理、投资业务管理、收益分配管理和全面预算管理等工作</w:t>
            </w:r>
          </w:p>
        </w:tc>
      </w:tr>
    </w:tbl>
    <w:p/>
    <w:p>
      <w:pPr>
        <w:pStyle w:val="2"/>
        <w:spacing w:before="0" w:after="0" w:line="240" w:lineRule="auto"/>
        <w:rPr>
          <w:sz w:val="28"/>
          <w:szCs w:val="28"/>
        </w:rPr>
      </w:pPr>
      <w:r>
        <w:rPr>
          <w:rFonts w:hint="eastAsia"/>
          <w:sz w:val="28"/>
          <w:szCs w:val="28"/>
        </w:rPr>
        <w:t>五、培养目标与规格</w:t>
      </w:r>
    </w:p>
    <w:p>
      <w:pPr>
        <w:ind w:firstLine="562" w:firstLineChars="200"/>
        <w:rPr>
          <w:b/>
          <w:sz w:val="28"/>
        </w:rPr>
      </w:pPr>
      <w:r>
        <w:rPr>
          <w:rFonts w:hint="eastAsia"/>
          <w:b/>
          <w:sz w:val="28"/>
        </w:rPr>
        <w:t>（一）培养目标</w:t>
      </w:r>
    </w:p>
    <w:p>
      <w:pPr>
        <w:tabs>
          <w:tab w:val="center" w:pos="4524"/>
        </w:tabs>
        <w:spacing w:before="156" w:beforeLines="50" w:after="156" w:afterLines="50" w:line="460" w:lineRule="exact"/>
        <w:jc w:val="center"/>
        <w:rPr>
          <w:rFonts w:hint="eastAsia"/>
          <w:sz w:val="28"/>
        </w:rPr>
      </w:pPr>
      <w:r>
        <w:rPr>
          <w:rFonts w:hint="eastAsia"/>
          <w:sz w:val="28"/>
          <w:lang w:val="en-US" w:eastAsia="zh-CN"/>
        </w:rPr>
        <w:t xml:space="preserve">    </w:t>
      </w:r>
      <w:r>
        <w:rPr>
          <w:rFonts w:hint="eastAsia"/>
          <w:sz w:val="28"/>
        </w:rPr>
        <w:t>本专业培养适应海南自贸区（港）建设发展需要，具有良好的综合素质和职业道德，具有创新、创业精神，熟练掌握会计、理财、金融等方面完整的知识体系，具有较为宽广的经济、管理、法律、财政和税收等相关学科理论基础以及原理性知识，能在工商企业、金融机构、事业单位从事会计、财务管理、财务咨询等工作的高素质高端技能型人才。</w:t>
      </w:r>
    </w:p>
    <w:p>
      <w:pPr>
        <w:ind w:firstLine="562" w:firstLineChars="200"/>
        <w:rPr>
          <w:b/>
          <w:sz w:val="28"/>
        </w:rPr>
      </w:pPr>
      <w:r>
        <w:rPr>
          <w:rFonts w:hint="eastAsia"/>
          <w:b/>
          <w:sz w:val="28"/>
        </w:rPr>
        <w:t>（二）人才规格（包括知识、能力、素质三方面）</w:t>
      </w:r>
    </w:p>
    <w:p>
      <w:pPr>
        <w:spacing w:line="276" w:lineRule="auto"/>
        <w:ind w:firstLine="554" w:firstLineChars="198"/>
        <w:rPr>
          <w:rFonts w:hint="eastAsia"/>
          <w:sz w:val="28"/>
        </w:rPr>
      </w:pPr>
      <w:r>
        <w:rPr>
          <w:rFonts w:hint="eastAsia"/>
          <w:sz w:val="28"/>
        </w:rPr>
        <w:t>本专业学生在高等职业技术专科的基础上，通过系统的课程和实践环节的学习与训练，系统地掌握</w:t>
      </w:r>
      <w:r>
        <w:rPr>
          <w:rFonts w:hint="eastAsia"/>
          <w:sz w:val="28"/>
          <w:lang w:eastAsia="zh-CN"/>
        </w:rPr>
        <w:t>财务管理</w:t>
      </w:r>
      <w:r>
        <w:rPr>
          <w:rFonts w:hint="eastAsia"/>
          <w:sz w:val="28"/>
        </w:rPr>
        <w:t>基本理论基础，并在一个专业方向上有较深入的理论学习和实践能力的培养，从而具备综合运用理论知识解决实际</w:t>
      </w:r>
      <w:r>
        <w:rPr>
          <w:rFonts w:hint="eastAsia"/>
          <w:sz w:val="28"/>
          <w:lang w:eastAsia="zh-CN"/>
        </w:rPr>
        <w:t>财务管理</w:t>
      </w:r>
      <w:r>
        <w:rPr>
          <w:rFonts w:hint="eastAsia"/>
          <w:sz w:val="28"/>
        </w:rPr>
        <w:t>问题的能力，了解本理论应用于实践动态及技术前沿的发展趋势，具有较强的工作适应能力，具备良好的人际沟通与团队合作能力，能够胜任</w:t>
      </w:r>
      <w:r>
        <w:rPr>
          <w:rFonts w:hint="eastAsia"/>
          <w:sz w:val="28"/>
          <w:lang w:eastAsia="zh-CN"/>
        </w:rPr>
        <w:t>公司理财</w:t>
      </w:r>
      <w:r>
        <w:rPr>
          <w:rFonts w:hint="eastAsia"/>
          <w:sz w:val="28"/>
        </w:rPr>
        <w:t>、</w:t>
      </w:r>
      <w:r>
        <w:rPr>
          <w:rFonts w:hint="eastAsia"/>
          <w:sz w:val="28"/>
          <w:lang w:eastAsia="zh-CN"/>
        </w:rPr>
        <w:t>会计核算</w:t>
      </w:r>
      <w:r>
        <w:rPr>
          <w:rFonts w:hint="eastAsia"/>
          <w:sz w:val="28"/>
        </w:rPr>
        <w:t>、</w:t>
      </w:r>
      <w:r>
        <w:rPr>
          <w:rFonts w:hint="eastAsia"/>
          <w:sz w:val="28"/>
          <w:lang w:eastAsia="zh-CN"/>
        </w:rPr>
        <w:t>金融管理</w:t>
      </w:r>
      <w:r>
        <w:rPr>
          <w:rFonts w:hint="eastAsia"/>
          <w:sz w:val="28"/>
        </w:rPr>
        <w:t>等工作。</w:t>
      </w:r>
    </w:p>
    <w:p>
      <w:pPr>
        <w:spacing w:line="276" w:lineRule="auto"/>
        <w:ind w:firstLine="2884" w:firstLineChars="1197"/>
        <w:rPr>
          <w:b/>
          <w:bCs/>
          <w:sz w:val="24"/>
        </w:rPr>
      </w:pPr>
      <w:r>
        <w:rPr>
          <w:rFonts w:hint="eastAsia"/>
          <w:b/>
          <w:bCs/>
          <w:sz w:val="24"/>
        </w:rPr>
        <w:t>表3</w:t>
      </w:r>
      <w:r>
        <w:rPr>
          <w:b/>
          <w:bCs/>
          <w:sz w:val="24"/>
        </w:rPr>
        <w:t xml:space="preserve">  </w:t>
      </w:r>
      <w:r>
        <w:rPr>
          <w:rFonts w:hint="eastAsia"/>
          <w:b/>
          <w:bCs/>
          <w:sz w:val="24"/>
        </w:rPr>
        <w:t>人才培养规格指标体系</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1363"/>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1" w:type="pct"/>
            <w:vAlign w:val="center"/>
          </w:tcPr>
          <w:p>
            <w:pPr>
              <w:jc w:val="center"/>
            </w:pPr>
            <w:r>
              <w:rPr>
                <w:rFonts w:hint="eastAsia"/>
              </w:rPr>
              <w:t>一级指标</w:t>
            </w:r>
          </w:p>
        </w:tc>
        <w:tc>
          <w:tcPr>
            <w:tcW w:w="765" w:type="pct"/>
            <w:vAlign w:val="center"/>
          </w:tcPr>
          <w:p>
            <w:pPr>
              <w:jc w:val="center"/>
            </w:pPr>
            <w:r>
              <w:rPr>
                <w:rFonts w:hint="eastAsia"/>
              </w:rPr>
              <w:t>二级指标</w:t>
            </w:r>
          </w:p>
        </w:tc>
        <w:tc>
          <w:tcPr>
            <w:tcW w:w="3445" w:type="pct"/>
            <w:vAlign w:val="center"/>
          </w:tcPr>
          <w:p>
            <w:pPr>
              <w:jc w:val="center"/>
            </w:pPr>
            <w:r>
              <w:rPr>
                <w:rFonts w:hint="eastAsia"/>
              </w:rPr>
              <w:t>三级指导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91" w:type="pct"/>
            <w:vMerge w:val="restart"/>
            <w:vAlign w:val="center"/>
          </w:tcPr>
          <w:p>
            <w:r>
              <w:rPr>
                <w:rFonts w:hint="eastAsia"/>
              </w:rPr>
              <w:t>知识要求</w:t>
            </w:r>
          </w:p>
        </w:tc>
        <w:tc>
          <w:tcPr>
            <w:tcW w:w="765" w:type="pct"/>
            <w:vAlign w:val="center"/>
          </w:tcPr>
          <w:p>
            <w:r>
              <w:rPr>
                <w:rFonts w:hint="eastAsia"/>
              </w:rPr>
              <w:t>基础知识</w:t>
            </w:r>
          </w:p>
        </w:tc>
        <w:tc>
          <w:tcPr>
            <w:tcW w:w="3445" w:type="pct"/>
            <w:vAlign w:val="center"/>
          </w:tcPr>
          <w:p>
            <w:pPr>
              <w:rPr>
                <w:rFonts w:hint="eastAsia"/>
                <w:lang w:eastAsia="zh-CN"/>
              </w:rPr>
            </w:pPr>
            <w:r>
              <w:rPr>
                <w:rFonts w:hint="eastAsia"/>
                <w:lang w:eastAsia="zh-CN"/>
              </w:rPr>
              <w:t>掌握一门外语，能阅读本专业外文资料；</w:t>
            </w:r>
          </w:p>
          <w:p>
            <w:pPr>
              <w:rPr>
                <w:rFonts w:hint="eastAsia"/>
                <w:lang w:eastAsia="zh-CN"/>
              </w:rPr>
            </w:pPr>
            <w:r>
              <w:rPr>
                <w:rFonts w:hint="eastAsia"/>
              </w:rPr>
              <w:t>掌握</w:t>
            </w:r>
            <w:r>
              <w:rPr>
                <w:rFonts w:hint="eastAsia"/>
                <w:lang w:eastAsia="zh-CN"/>
              </w:rPr>
              <w:t>文献检索、资料查询的基本方法，具有一定的科学研究和实际工作能力；</w:t>
            </w:r>
          </w:p>
          <w:p>
            <w:pPr>
              <w:rPr>
                <w:rFonts w:hint="eastAsia"/>
                <w:lang w:eastAsia="zh-CN"/>
              </w:rPr>
            </w:pPr>
            <w:r>
              <w:rPr>
                <w:rFonts w:hint="eastAsia"/>
                <w:lang w:eastAsia="zh-CN"/>
              </w:rPr>
              <w:t>掌握数学与逻辑逻辑思维知识，培养学生创新意识和能力，引导学生所学的知识和方法去观察、分析、解决问题的能力；</w:t>
            </w:r>
          </w:p>
          <w:p>
            <w:pPr>
              <w:rPr>
                <w:rFonts w:hint="eastAsia"/>
                <w:lang w:eastAsia="zh-CN"/>
              </w:rPr>
            </w:pPr>
            <w:r>
              <w:rPr>
                <w:rFonts w:hint="eastAsia"/>
                <w:lang w:eastAsia="zh-CN"/>
              </w:rPr>
              <w:t>掌握我国的大政方针、经济政策；</w:t>
            </w:r>
          </w:p>
          <w:p>
            <w:pPr>
              <w:rPr>
                <w:rFonts w:hint="eastAsia" w:eastAsia="宋体"/>
                <w:lang w:eastAsia="zh-CN"/>
              </w:rPr>
            </w:pPr>
            <w:r>
              <w:rPr>
                <w:rFonts w:hint="eastAsia"/>
                <w:lang w:eastAsia="zh-CN"/>
              </w:rPr>
              <w:t>熟练掌握计算机应用知识，能运用现代信息技术获取和处理经济信息。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91" w:type="pct"/>
            <w:vMerge w:val="continue"/>
            <w:vAlign w:val="center"/>
          </w:tcPr>
          <w:p/>
        </w:tc>
        <w:tc>
          <w:tcPr>
            <w:tcW w:w="765" w:type="pct"/>
            <w:vAlign w:val="center"/>
          </w:tcPr>
          <w:p>
            <w:r>
              <w:rPr>
                <w:rFonts w:hint="eastAsia"/>
              </w:rPr>
              <w:t>专业知识</w:t>
            </w:r>
          </w:p>
        </w:tc>
        <w:tc>
          <w:tcPr>
            <w:tcW w:w="3445" w:type="pct"/>
            <w:vAlign w:val="center"/>
          </w:tcPr>
          <w:p>
            <w:pPr>
              <w:rPr>
                <w:rFonts w:hint="eastAsia"/>
                <w:lang w:eastAsia="zh-CN"/>
              </w:rPr>
            </w:pPr>
            <w:r>
              <w:rPr>
                <w:rFonts w:hint="eastAsia"/>
              </w:rPr>
              <w:t>掌握</w:t>
            </w:r>
            <w:r>
              <w:rPr>
                <w:rFonts w:hint="eastAsia"/>
                <w:lang w:eastAsia="zh-CN"/>
              </w:rPr>
              <w:t>会计、成本管理、投资学、纳税筹划等财务管理专业理论知识与方法；</w:t>
            </w:r>
          </w:p>
          <w:p>
            <w:pPr>
              <w:rPr>
                <w:rFonts w:hint="eastAsia"/>
                <w:lang w:eastAsia="zh-CN"/>
              </w:rPr>
            </w:pPr>
            <w:r>
              <w:rPr>
                <w:rFonts w:hint="eastAsia"/>
                <w:lang w:eastAsia="zh-CN"/>
              </w:rPr>
              <w:t>掌握财务管理专业的理论前沿及发展状态；</w:t>
            </w:r>
          </w:p>
          <w:p>
            <w:pPr>
              <w:rPr>
                <w:rFonts w:hint="eastAsia" w:eastAsia="宋体"/>
                <w:lang w:eastAsia="zh-CN"/>
              </w:rPr>
            </w:pPr>
            <w:r>
              <w:rPr>
                <w:rFonts w:hint="eastAsia"/>
              </w:rPr>
              <w:t>熟熟练掌握</w:t>
            </w:r>
            <w:r>
              <w:rPr>
                <w:rFonts w:hint="eastAsia"/>
                <w:lang w:eastAsia="zh-CN"/>
              </w:rPr>
              <w:t>经济学、管理学、财务和金融管理的基本理论、基本知识。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91" w:type="pct"/>
            <w:vMerge w:val="restart"/>
            <w:vAlign w:val="center"/>
          </w:tcPr>
          <w:p>
            <w:r>
              <w:rPr>
                <w:rFonts w:hint="eastAsia"/>
              </w:rPr>
              <w:t>能力要求</w:t>
            </w:r>
          </w:p>
        </w:tc>
        <w:tc>
          <w:tcPr>
            <w:tcW w:w="765" w:type="pct"/>
            <w:vAlign w:val="center"/>
          </w:tcPr>
          <w:p>
            <w:pPr>
              <w:rPr>
                <w:rFonts w:hint="eastAsia" w:eastAsia="宋体"/>
                <w:lang w:eastAsia="zh-CN"/>
              </w:rPr>
            </w:pPr>
            <w:r>
              <w:rPr>
                <w:rFonts w:hint="eastAsia"/>
                <w:lang w:eastAsia="zh-CN"/>
              </w:rPr>
              <w:t>专业基本应用能力</w:t>
            </w:r>
          </w:p>
        </w:tc>
        <w:tc>
          <w:tcPr>
            <w:tcW w:w="3445" w:type="pct"/>
            <w:vAlign w:val="center"/>
          </w:tcPr>
          <w:p>
            <w:pPr>
              <w:rPr>
                <w:rFonts w:hint="eastAsia" w:eastAsia="宋体"/>
                <w:lang w:eastAsia="zh-CN"/>
              </w:rPr>
            </w:pPr>
            <w:r>
              <w:rPr>
                <w:rFonts w:hint="eastAsia"/>
              </w:rPr>
              <w:t>具有较强的</w:t>
            </w:r>
            <w:r>
              <w:rPr>
                <w:rFonts w:hint="eastAsia"/>
                <w:lang w:eastAsia="zh-CN"/>
              </w:rPr>
              <w:t>语言与文字表达、交流沟通、信息获得；</w:t>
            </w:r>
          </w:p>
          <w:p>
            <w:pPr>
              <w:rPr>
                <w:rFonts w:hint="eastAsia" w:eastAsia="宋体"/>
                <w:lang w:eastAsia="zh-CN"/>
              </w:rPr>
            </w:pPr>
            <w:r>
              <w:rPr>
                <w:rFonts w:hint="eastAsia"/>
              </w:rPr>
              <w:t>具有较</w:t>
            </w:r>
            <w:r>
              <w:rPr>
                <w:rFonts w:hint="eastAsia"/>
                <w:lang w:eastAsia="zh-CN"/>
              </w:rPr>
              <w:t>强的分析和解决会计、财务管理实际问题的基本技能；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791" w:type="pct"/>
            <w:vMerge w:val="continue"/>
            <w:vAlign w:val="center"/>
          </w:tcPr>
          <w:p/>
        </w:tc>
        <w:tc>
          <w:tcPr>
            <w:tcW w:w="765" w:type="pct"/>
            <w:vAlign w:val="center"/>
          </w:tcPr>
          <w:p>
            <w:pPr>
              <w:rPr>
                <w:rFonts w:hint="eastAsia" w:eastAsia="宋体"/>
                <w:lang w:eastAsia="zh-CN"/>
              </w:rPr>
            </w:pPr>
            <w:r>
              <w:rPr>
                <w:rFonts w:hint="eastAsia"/>
                <w:lang w:eastAsia="zh-CN"/>
              </w:rPr>
              <w:t>专业核心应用能力</w:t>
            </w:r>
          </w:p>
        </w:tc>
        <w:tc>
          <w:tcPr>
            <w:tcW w:w="3445" w:type="pct"/>
            <w:vAlign w:val="center"/>
          </w:tcPr>
          <w:p>
            <w:pPr>
              <w:rPr>
                <w:rFonts w:hint="eastAsia"/>
                <w:lang w:eastAsia="zh-CN"/>
              </w:rPr>
            </w:pPr>
            <w:r>
              <w:rPr>
                <w:rFonts w:hint="eastAsia"/>
                <w:lang w:eastAsia="zh-CN"/>
              </w:rPr>
              <w:t>能综合运用财务管理专业知识，能够进行资金筹集、投资管理、资金管理、资金运营的能力。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791" w:type="pct"/>
            <w:vMerge w:val="continue"/>
            <w:tcBorders>
              <w:bottom w:val="single" w:color="auto" w:sz="4" w:space="0"/>
            </w:tcBorders>
            <w:vAlign w:val="center"/>
          </w:tcPr>
          <w:p/>
        </w:tc>
        <w:tc>
          <w:tcPr>
            <w:tcW w:w="765" w:type="pct"/>
            <w:tcBorders>
              <w:bottom w:val="single" w:color="auto" w:sz="4" w:space="0"/>
            </w:tcBorders>
            <w:vAlign w:val="center"/>
          </w:tcPr>
          <w:p>
            <w:pPr>
              <w:rPr>
                <w:rFonts w:hint="eastAsia" w:eastAsia="宋体"/>
                <w:lang w:eastAsia="zh-CN"/>
              </w:rPr>
            </w:pPr>
            <w:r>
              <w:rPr>
                <w:rFonts w:hint="eastAsia"/>
                <w:lang w:eastAsia="zh-CN"/>
              </w:rPr>
              <w:t>关键能力</w:t>
            </w:r>
          </w:p>
        </w:tc>
        <w:tc>
          <w:tcPr>
            <w:tcW w:w="3445" w:type="pct"/>
            <w:tcBorders>
              <w:bottom w:val="single" w:color="auto" w:sz="4" w:space="0"/>
            </w:tcBorders>
            <w:vAlign w:val="center"/>
          </w:tcPr>
          <w:p>
            <w:pPr>
              <w:rPr>
                <w:rFonts w:hint="eastAsia"/>
                <w:lang w:eastAsia="zh-CN"/>
              </w:rPr>
            </w:pPr>
            <w:r>
              <w:rPr>
                <w:rFonts w:hint="eastAsia"/>
              </w:rPr>
              <w:t>具有较强的</w:t>
            </w:r>
            <w:r>
              <w:rPr>
                <w:rFonts w:hint="eastAsia"/>
                <w:lang w:eastAsia="zh-CN"/>
              </w:rPr>
              <w:t>运用财务管理知识解决实际问题的能力、表达沟通能力、团队合作能力、组织协调能力及创新能力；</w:t>
            </w:r>
          </w:p>
          <w:p>
            <w:pPr>
              <w:rPr>
                <w:rFonts w:hint="default"/>
                <w:lang w:val="en-US" w:eastAsia="zh-CN"/>
              </w:rPr>
            </w:pPr>
            <w:r>
              <w:rPr>
                <w:rFonts w:hint="eastAsia"/>
                <w:lang w:eastAsia="zh-CN"/>
              </w:rPr>
              <w:t>具有开拓精神、投资活动的决策和管理能力；</w:t>
            </w:r>
          </w:p>
          <w:p>
            <w:pPr>
              <w:rPr>
                <w:rFonts w:hint="eastAsia"/>
                <w:lang w:eastAsia="zh-CN"/>
              </w:rPr>
            </w:pPr>
            <w:r>
              <w:rPr>
                <w:rFonts w:hint="eastAsia"/>
              </w:rPr>
              <w:t>具有较</w:t>
            </w:r>
            <w:r>
              <w:rPr>
                <w:rFonts w:hint="eastAsia"/>
                <w:lang w:eastAsia="zh-CN"/>
              </w:rPr>
              <w:t>强的财务核算、分析、审核的技能。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1" w:type="pct"/>
            <w:vMerge w:val="restart"/>
            <w:tcBorders>
              <w:top w:val="single" w:color="auto" w:sz="4" w:space="0"/>
              <w:left w:val="single" w:color="auto" w:sz="4" w:space="0"/>
              <w:bottom w:val="single" w:color="auto" w:sz="4" w:space="0"/>
              <w:right w:val="single" w:color="auto" w:sz="4" w:space="0"/>
            </w:tcBorders>
            <w:vAlign w:val="center"/>
          </w:tcPr>
          <w:p>
            <w:r>
              <w:rPr>
                <w:rFonts w:hint="eastAsia"/>
              </w:rPr>
              <w:t>素质要求</w:t>
            </w:r>
          </w:p>
        </w:tc>
        <w:tc>
          <w:tcPr>
            <w:tcW w:w="765" w:type="pct"/>
            <w:tcBorders>
              <w:top w:val="single" w:color="auto" w:sz="4" w:space="0"/>
              <w:left w:val="single" w:color="auto" w:sz="4" w:space="0"/>
              <w:bottom w:val="single" w:color="auto" w:sz="4" w:space="0"/>
              <w:right w:val="single" w:color="auto" w:sz="4" w:space="0"/>
            </w:tcBorders>
            <w:vAlign w:val="center"/>
          </w:tcPr>
          <w:p>
            <w:r>
              <w:rPr>
                <w:rFonts w:hint="eastAsia"/>
              </w:rPr>
              <w:t>基本素养</w:t>
            </w:r>
          </w:p>
        </w:tc>
        <w:tc>
          <w:tcPr>
            <w:tcW w:w="3445" w:type="pct"/>
            <w:tcBorders>
              <w:top w:val="single" w:color="auto" w:sz="4" w:space="0"/>
              <w:left w:val="single" w:color="auto" w:sz="4" w:space="0"/>
              <w:bottom w:val="single" w:color="auto" w:sz="4" w:space="0"/>
              <w:right w:val="single" w:color="auto" w:sz="4" w:space="0"/>
            </w:tcBorders>
            <w:vAlign w:val="center"/>
          </w:tcPr>
          <w:p>
            <w:r>
              <w:rPr>
                <w:rFonts w:hint="eastAsia"/>
              </w:rPr>
              <w:t>具有正确的世界观、人生观、价值观；有爱国主义、集体主义思想和良好的道德品质；</w:t>
            </w:r>
          </w:p>
          <w:p>
            <w:r>
              <w:rPr>
                <w:rFonts w:hint="eastAsia"/>
              </w:rPr>
              <w:t>具有一定的竞争意识、效率意识、安全意识、法律意识、创新意识和健康的生活态度；</w:t>
            </w:r>
          </w:p>
          <w:p>
            <w:r>
              <w:rPr>
                <w:rFonts w:hint="eastAsia"/>
              </w:rPr>
              <w:t>具有吃苦耐劳、团结协作的精神，具有初步的组织工作能力，具有创新精神；</w:t>
            </w:r>
          </w:p>
          <w:p>
            <w:r>
              <w:rPr>
                <w:rFonts w:hint="eastAsia"/>
              </w:rPr>
              <w:t xml:space="preserve">良好的身体素质。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791" w:type="pct"/>
            <w:vMerge w:val="continue"/>
            <w:tcBorders>
              <w:top w:val="single" w:color="auto" w:sz="4" w:space="0"/>
              <w:left w:val="single" w:color="auto" w:sz="4" w:space="0"/>
              <w:bottom w:val="single" w:color="auto" w:sz="4" w:space="0"/>
              <w:right w:val="single" w:color="auto" w:sz="4" w:space="0"/>
            </w:tcBorders>
            <w:vAlign w:val="center"/>
          </w:tcPr>
          <w:p/>
        </w:tc>
        <w:tc>
          <w:tcPr>
            <w:tcW w:w="765" w:type="pct"/>
            <w:tcBorders>
              <w:top w:val="single" w:color="auto" w:sz="4" w:space="0"/>
              <w:left w:val="single" w:color="auto" w:sz="4" w:space="0"/>
              <w:bottom w:val="single" w:color="auto" w:sz="4" w:space="0"/>
              <w:right w:val="single" w:color="auto" w:sz="4" w:space="0"/>
            </w:tcBorders>
            <w:vAlign w:val="center"/>
          </w:tcPr>
          <w:p>
            <w:r>
              <w:rPr>
                <w:rFonts w:hint="eastAsia"/>
              </w:rPr>
              <w:t>职业素养</w:t>
            </w:r>
          </w:p>
        </w:tc>
        <w:tc>
          <w:tcPr>
            <w:tcW w:w="3445" w:type="pct"/>
            <w:tcBorders>
              <w:top w:val="single" w:color="auto" w:sz="4" w:space="0"/>
              <w:left w:val="single" w:color="auto" w:sz="4" w:space="0"/>
              <w:bottom w:val="single" w:color="auto" w:sz="4" w:space="0"/>
              <w:right w:val="single" w:color="auto" w:sz="4" w:space="0"/>
            </w:tcBorders>
            <w:vAlign w:val="center"/>
          </w:tcPr>
          <w:p>
            <w:r>
              <w:rPr>
                <w:rFonts w:hint="eastAsia"/>
              </w:rPr>
              <w:t>具有胜任岗位要求的基本知识和能力结构，并且善于学习；</w:t>
            </w:r>
          </w:p>
          <w:p>
            <w:r>
              <w:rPr>
                <w:rFonts w:hint="eastAsia"/>
              </w:rPr>
              <w:t>具有良好的纪律观念，具有事业心和责任感；</w:t>
            </w:r>
          </w:p>
          <w:p>
            <w:r>
              <w:rPr>
                <w:rFonts w:hint="eastAsia"/>
              </w:rPr>
              <w:t>对职业岗位事务具有正确思维和反应能力，具有良好的职业活动能力。</w:t>
            </w:r>
          </w:p>
          <w:p>
            <w:r>
              <w:rPr>
                <w:rFonts w:hint="eastAsia"/>
              </w:rPr>
              <w:t>能够不断调整自己适应工作环境，适应岗位、适应社会。</w:t>
            </w:r>
          </w:p>
        </w:tc>
      </w:tr>
    </w:tbl>
    <w:p>
      <w:pPr>
        <w:widowControl/>
        <w:jc w:val="left"/>
        <w:rPr>
          <w:rFonts w:ascii="宋体" w:hAnsi="宋体" w:eastAsia="宋体" w:cs="Times New Roman"/>
          <w:kern w:val="2"/>
          <w:sz w:val="18"/>
          <w:szCs w:val="28"/>
          <w:lang w:val="en-US" w:eastAsia="zh-CN" w:bidi="ar-SA"/>
        </w:rPr>
      </w:pPr>
    </w:p>
    <w:p>
      <w:pPr>
        <w:tabs>
          <w:tab w:val="center" w:pos="4524"/>
        </w:tabs>
        <w:jc w:val="center"/>
        <w:rPr>
          <w:b/>
          <w:bCs/>
          <w:sz w:val="24"/>
        </w:rPr>
      </w:pPr>
      <w:r>
        <w:rPr>
          <w:rFonts w:hint="eastAsia"/>
          <w:b/>
          <w:bCs/>
          <w:sz w:val="24"/>
        </w:rPr>
        <w:t>表4 具体实现途径见下表</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096"/>
        <w:gridCol w:w="2439"/>
        <w:gridCol w:w="4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trPr>
        <w:tc>
          <w:tcPr>
            <w:tcW w:w="2245" w:type="pct"/>
            <w:gridSpan w:val="3"/>
            <w:vAlign w:val="center"/>
          </w:tcPr>
          <w:p>
            <w:pPr>
              <w:jc w:val="center"/>
            </w:pPr>
            <w:r>
              <w:rPr>
                <w:rFonts w:hint="eastAsia"/>
              </w:rPr>
              <w:t>培养要求</w:t>
            </w:r>
          </w:p>
        </w:tc>
        <w:tc>
          <w:tcPr>
            <w:tcW w:w="2754" w:type="pct"/>
            <w:vAlign w:val="center"/>
          </w:tcPr>
          <w:p>
            <w:pPr>
              <w:jc w:val="center"/>
            </w:pPr>
            <w:r>
              <w:rPr>
                <w:rFonts w:hint="eastAsia"/>
              </w:rPr>
              <w:t>实现途径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61" w:type="pct"/>
            <w:vMerge w:val="restart"/>
            <w:vAlign w:val="center"/>
          </w:tcPr>
          <w:p>
            <w:r>
              <w:rPr>
                <w:rFonts w:hint="eastAsia"/>
              </w:rPr>
              <w:t>知识</w:t>
            </w:r>
          </w:p>
        </w:tc>
        <w:tc>
          <w:tcPr>
            <w:tcW w:w="615" w:type="pct"/>
            <w:vMerge w:val="restart"/>
            <w:vAlign w:val="center"/>
          </w:tcPr>
          <w:p>
            <w:r>
              <w:rPr>
                <w:rFonts w:hint="eastAsia"/>
              </w:rPr>
              <w:t>基本知识</w:t>
            </w:r>
          </w:p>
        </w:tc>
        <w:tc>
          <w:tcPr>
            <w:tcW w:w="1368" w:type="pct"/>
            <w:vAlign w:val="center"/>
          </w:tcPr>
          <w:p>
            <w:pPr>
              <w:rPr>
                <w:rFonts w:hint="eastAsia" w:eastAsia="宋体"/>
                <w:lang w:eastAsia="zh-CN"/>
              </w:rPr>
            </w:pPr>
            <w:r>
              <w:rPr>
                <w:rFonts w:hint="eastAsia"/>
              </w:rPr>
              <w:t>自然科学</w:t>
            </w:r>
            <w:r>
              <w:rPr>
                <w:rFonts w:hint="eastAsia"/>
                <w:lang w:eastAsia="zh-CN"/>
              </w:rPr>
              <w:t>知识</w:t>
            </w:r>
          </w:p>
        </w:tc>
        <w:tc>
          <w:tcPr>
            <w:tcW w:w="2754" w:type="pct"/>
            <w:vAlign w:val="center"/>
          </w:tcPr>
          <w:p>
            <w:pPr>
              <w:rPr>
                <w:rFonts w:hint="eastAsia" w:eastAsia="宋体"/>
                <w:lang w:eastAsia="zh-CN"/>
              </w:rPr>
            </w:pPr>
            <w:r>
              <w:rPr>
                <w:rFonts w:hint="eastAsia"/>
                <w:lang w:eastAsia="zh-CN"/>
              </w:rPr>
              <w:t>高等数学、大数据思维等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61" w:type="pct"/>
            <w:vMerge w:val="continue"/>
            <w:vAlign w:val="center"/>
          </w:tcPr>
          <w:p/>
        </w:tc>
        <w:tc>
          <w:tcPr>
            <w:tcW w:w="615" w:type="pct"/>
            <w:vMerge w:val="continue"/>
            <w:vAlign w:val="center"/>
          </w:tcPr>
          <w:p/>
        </w:tc>
        <w:tc>
          <w:tcPr>
            <w:tcW w:w="1368" w:type="pct"/>
            <w:vAlign w:val="center"/>
          </w:tcPr>
          <w:p>
            <w:pPr>
              <w:rPr>
                <w:rFonts w:hint="eastAsia" w:eastAsia="宋体"/>
                <w:lang w:eastAsia="zh-CN"/>
              </w:rPr>
            </w:pPr>
            <w:r>
              <w:rPr>
                <w:rFonts w:hint="eastAsia"/>
                <w:lang w:eastAsia="zh-CN"/>
              </w:rPr>
              <w:t>人文社会科学知识</w:t>
            </w:r>
          </w:p>
        </w:tc>
        <w:tc>
          <w:tcPr>
            <w:tcW w:w="2754" w:type="pct"/>
            <w:vAlign w:val="center"/>
          </w:tcPr>
          <w:p>
            <w:pPr>
              <w:rPr>
                <w:rFonts w:hint="eastAsia" w:eastAsia="宋体"/>
                <w:lang w:eastAsia="zh-CN"/>
              </w:rPr>
            </w:pPr>
            <w:r>
              <w:rPr>
                <w:rFonts w:hint="eastAsia"/>
                <w:lang w:eastAsia="zh-CN"/>
              </w:rPr>
              <w:t>马克思主义基本原理、形势与政策、大学美育教育等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61" w:type="pct"/>
            <w:vMerge w:val="continue"/>
            <w:vAlign w:val="center"/>
          </w:tcPr>
          <w:p/>
        </w:tc>
        <w:tc>
          <w:tcPr>
            <w:tcW w:w="615" w:type="pct"/>
            <w:vMerge w:val="continue"/>
            <w:vAlign w:val="center"/>
          </w:tcPr>
          <w:p/>
        </w:tc>
        <w:tc>
          <w:tcPr>
            <w:tcW w:w="1368" w:type="pct"/>
            <w:vAlign w:val="center"/>
          </w:tcPr>
          <w:p>
            <w:pPr>
              <w:rPr>
                <w:rFonts w:hint="eastAsia" w:eastAsia="宋体"/>
                <w:lang w:eastAsia="zh-CN"/>
              </w:rPr>
            </w:pPr>
            <w:r>
              <w:rPr>
                <w:rFonts w:hint="eastAsia"/>
                <w:lang w:eastAsia="zh-CN"/>
              </w:rPr>
              <w:t>工具性知识</w:t>
            </w:r>
          </w:p>
        </w:tc>
        <w:tc>
          <w:tcPr>
            <w:tcW w:w="2754" w:type="pct"/>
            <w:vAlign w:val="center"/>
          </w:tcPr>
          <w:p>
            <w:pPr>
              <w:rPr>
                <w:rFonts w:hint="eastAsia" w:eastAsia="宋体"/>
                <w:lang w:eastAsia="zh-CN"/>
              </w:rPr>
            </w:pPr>
            <w:r>
              <w:rPr>
                <w:rFonts w:hint="eastAsia"/>
                <w:lang w:eastAsia="zh-CN"/>
              </w:rPr>
              <w:t>财经英语阅读、文献信息检索与科技论文写作等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61" w:type="pct"/>
            <w:vMerge w:val="continue"/>
            <w:vAlign w:val="center"/>
          </w:tcPr>
          <w:p/>
        </w:tc>
        <w:tc>
          <w:tcPr>
            <w:tcW w:w="615" w:type="pct"/>
            <w:vMerge w:val="restart"/>
            <w:vAlign w:val="center"/>
          </w:tcPr>
          <w:p>
            <w:r>
              <w:rPr>
                <w:rFonts w:hint="eastAsia"/>
              </w:rPr>
              <w:t>专业知识</w:t>
            </w:r>
          </w:p>
        </w:tc>
        <w:tc>
          <w:tcPr>
            <w:tcW w:w="1368" w:type="pct"/>
            <w:vAlign w:val="center"/>
          </w:tcPr>
          <w:p>
            <w:pPr>
              <w:rPr>
                <w:rFonts w:hint="eastAsia" w:eastAsia="宋体"/>
                <w:lang w:eastAsia="zh-CN"/>
              </w:rPr>
            </w:pPr>
            <w:r>
              <w:rPr>
                <w:rFonts w:hint="eastAsia"/>
                <w:lang w:eastAsia="zh-CN"/>
              </w:rPr>
              <w:t>专业基础知识</w:t>
            </w:r>
          </w:p>
        </w:tc>
        <w:tc>
          <w:tcPr>
            <w:tcW w:w="2754" w:type="pct"/>
            <w:vAlign w:val="center"/>
          </w:tcPr>
          <w:p>
            <w:pPr>
              <w:rPr>
                <w:rFonts w:hint="eastAsia" w:eastAsia="宋体"/>
                <w:lang w:eastAsia="zh-CN"/>
              </w:rPr>
            </w:pPr>
            <w:r>
              <w:rPr>
                <w:rFonts w:hint="eastAsia"/>
                <w:lang w:eastAsia="zh-CN"/>
              </w:rPr>
              <w:t>微观经济学、管理学、金融学等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61" w:type="pct"/>
            <w:vMerge w:val="continue"/>
            <w:vAlign w:val="center"/>
          </w:tcPr>
          <w:p/>
        </w:tc>
        <w:tc>
          <w:tcPr>
            <w:tcW w:w="615" w:type="pct"/>
            <w:vMerge w:val="continue"/>
            <w:vAlign w:val="center"/>
          </w:tcPr>
          <w:p/>
        </w:tc>
        <w:tc>
          <w:tcPr>
            <w:tcW w:w="1368" w:type="pct"/>
            <w:vAlign w:val="center"/>
          </w:tcPr>
          <w:p>
            <w:pPr>
              <w:rPr>
                <w:rFonts w:hint="eastAsia" w:eastAsia="宋体"/>
                <w:lang w:eastAsia="zh-CN"/>
              </w:rPr>
            </w:pPr>
            <w:r>
              <w:rPr>
                <w:rFonts w:hint="eastAsia"/>
                <w:lang w:eastAsia="zh-CN"/>
              </w:rPr>
              <w:t>专业方向知识</w:t>
            </w:r>
          </w:p>
        </w:tc>
        <w:tc>
          <w:tcPr>
            <w:tcW w:w="2754" w:type="pct"/>
            <w:vAlign w:val="center"/>
          </w:tcPr>
          <w:p>
            <w:pPr>
              <w:rPr>
                <w:rFonts w:hint="eastAsia" w:eastAsia="宋体"/>
                <w:lang w:eastAsia="zh-CN"/>
              </w:rPr>
            </w:pPr>
            <w:r>
              <w:rPr>
                <w:rFonts w:hint="eastAsia"/>
                <w:lang w:eastAsia="zh-CN"/>
              </w:rPr>
              <w:t>高级会计实务、高级财务管理、审计学等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261" w:type="pct"/>
            <w:vMerge w:val="continue"/>
            <w:vAlign w:val="center"/>
          </w:tcPr>
          <w:p/>
        </w:tc>
        <w:tc>
          <w:tcPr>
            <w:tcW w:w="615" w:type="pct"/>
            <w:vMerge w:val="continue"/>
            <w:vAlign w:val="center"/>
          </w:tcPr>
          <w:p/>
        </w:tc>
        <w:tc>
          <w:tcPr>
            <w:tcW w:w="1368" w:type="pct"/>
            <w:vAlign w:val="center"/>
          </w:tcPr>
          <w:p>
            <w:pPr>
              <w:rPr>
                <w:rFonts w:hint="eastAsia" w:eastAsia="宋体"/>
                <w:lang w:eastAsia="zh-CN"/>
              </w:rPr>
            </w:pPr>
            <w:r>
              <w:rPr>
                <w:rFonts w:hint="eastAsia"/>
                <w:lang w:eastAsia="zh-CN"/>
              </w:rPr>
              <w:t>专业拓展知识</w:t>
            </w:r>
          </w:p>
        </w:tc>
        <w:tc>
          <w:tcPr>
            <w:tcW w:w="2754" w:type="pct"/>
            <w:vAlign w:val="center"/>
          </w:tcPr>
          <w:p>
            <w:pPr>
              <w:rPr>
                <w:rFonts w:hint="default"/>
                <w:lang w:val="en-US" w:eastAsia="zh-CN"/>
              </w:rPr>
            </w:pPr>
            <w:r>
              <w:rPr>
                <w:rFonts w:hint="eastAsia"/>
                <w:lang w:val="en-US" w:eastAsia="zh-CN"/>
              </w:rPr>
              <w:t>管理心理学、投资学、财务管理案例分析、证券投资分析、税务筹划等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261" w:type="pct"/>
            <w:vMerge w:val="continue"/>
            <w:vAlign w:val="center"/>
          </w:tcPr>
          <w:p/>
        </w:tc>
        <w:tc>
          <w:tcPr>
            <w:tcW w:w="615" w:type="pct"/>
            <w:vMerge w:val="continue"/>
            <w:vAlign w:val="center"/>
          </w:tcPr>
          <w:p/>
        </w:tc>
        <w:tc>
          <w:tcPr>
            <w:tcW w:w="1368" w:type="pct"/>
            <w:vAlign w:val="center"/>
          </w:tcPr>
          <w:p>
            <w:pPr>
              <w:rPr>
                <w:rFonts w:hint="eastAsia" w:ascii="宋体" w:hAnsi="宋体" w:eastAsia="宋体" w:cs="Times New Roman"/>
                <w:kern w:val="2"/>
                <w:sz w:val="18"/>
                <w:szCs w:val="28"/>
                <w:lang w:val="en-US" w:eastAsia="zh-CN" w:bidi="ar-SA"/>
              </w:rPr>
            </w:pPr>
            <w:r>
              <w:rPr>
                <w:rFonts w:hint="eastAsia"/>
                <w:lang w:eastAsia="zh-CN"/>
              </w:rPr>
              <w:t>相关学科专业知识</w:t>
            </w:r>
          </w:p>
        </w:tc>
        <w:tc>
          <w:tcPr>
            <w:tcW w:w="2754" w:type="pct"/>
            <w:vAlign w:val="center"/>
          </w:tcPr>
          <w:p>
            <w:pPr>
              <w:rPr>
                <w:rFonts w:hint="default" w:ascii="宋体" w:hAnsi="宋体" w:eastAsia="宋体" w:cs="Times New Roman"/>
                <w:kern w:val="2"/>
                <w:sz w:val="18"/>
                <w:szCs w:val="28"/>
                <w:lang w:val="en-US" w:eastAsia="zh-CN" w:bidi="ar-SA"/>
              </w:rPr>
            </w:pPr>
            <w:r>
              <w:rPr>
                <w:rFonts w:hint="eastAsia"/>
                <w:lang w:eastAsia="zh-CN"/>
              </w:rPr>
              <w:t>市场营销学、国际金融等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61" w:type="pct"/>
            <w:vMerge w:val="restart"/>
            <w:vAlign w:val="center"/>
          </w:tcPr>
          <w:p>
            <w:r>
              <w:rPr>
                <w:rFonts w:hint="eastAsia"/>
              </w:rPr>
              <w:t>能力</w:t>
            </w:r>
          </w:p>
        </w:tc>
        <w:tc>
          <w:tcPr>
            <w:tcW w:w="615" w:type="pct"/>
            <w:vMerge w:val="restart"/>
            <w:vAlign w:val="center"/>
          </w:tcPr>
          <w:p>
            <w:r>
              <w:rPr>
                <w:rFonts w:hint="eastAsia"/>
              </w:rPr>
              <w:t>基本能力</w:t>
            </w:r>
          </w:p>
        </w:tc>
        <w:tc>
          <w:tcPr>
            <w:tcW w:w="1368" w:type="pct"/>
            <w:vAlign w:val="center"/>
          </w:tcPr>
          <w:p>
            <w:pPr>
              <w:rPr>
                <w:rFonts w:hint="eastAsia" w:eastAsia="宋体"/>
                <w:lang w:eastAsia="zh-CN"/>
              </w:rPr>
            </w:pPr>
            <w:r>
              <w:rPr>
                <w:rFonts w:hint="eastAsia"/>
                <w:lang w:eastAsia="zh-CN"/>
              </w:rPr>
              <w:t>专业基本技能</w:t>
            </w:r>
          </w:p>
        </w:tc>
        <w:tc>
          <w:tcPr>
            <w:tcW w:w="2754" w:type="pct"/>
            <w:vAlign w:val="center"/>
          </w:tcPr>
          <w:p>
            <w:pPr>
              <w:rPr>
                <w:rFonts w:hint="eastAsia" w:eastAsia="宋体"/>
                <w:lang w:eastAsia="zh-CN"/>
              </w:rPr>
            </w:pPr>
            <w:r>
              <w:rPr>
                <w:rFonts w:hint="eastAsia"/>
                <w:sz w:val="18"/>
                <w:szCs w:val="18"/>
              </w:rPr>
              <w:t>EXCEL在财务管理中的运用</w:t>
            </w:r>
            <w:r>
              <w:rPr>
                <w:rFonts w:hint="eastAsia"/>
                <w:sz w:val="18"/>
                <w:szCs w:val="18"/>
                <w:lang w:eastAsia="zh-CN"/>
              </w:rPr>
              <w:t>、</w:t>
            </w:r>
            <w:r>
              <w:rPr>
                <w:rFonts w:hint="eastAsia"/>
                <w:sz w:val="18"/>
                <w:szCs w:val="18"/>
                <w:lang w:val="en-US" w:eastAsia="zh-CN"/>
              </w:rPr>
              <w:t>V综</w:t>
            </w:r>
            <w:r>
              <w:rPr>
                <w:rFonts w:hint="eastAsia"/>
                <w:sz w:val="18"/>
                <w:szCs w:val="18"/>
                <w:lang w:eastAsia="zh-CN"/>
              </w:rPr>
              <w:t>实训、专业综合实训等实践课程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61" w:type="pct"/>
            <w:vMerge w:val="continue"/>
            <w:vAlign w:val="center"/>
          </w:tcPr>
          <w:p/>
        </w:tc>
        <w:tc>
          <w:tcPr>
            <w:tcW w:w="615" w:type="pct"/>
            <w:vMerge w:val="continue"/>
            <w:vAlign w:val="center"/>
          </w:tcPr>
          <w:p/>
        </w:tc>
        <w:tc>
          <w:tcPr>
            <w:tcW w:w="1368" w:type="pct"/>
            <w:vAlign w:val="center"/>
          </w:tcPr>
          <w:p>
            <w:r>
              <w:rPr>
                <w:rFonts w:hint="eastAsia"/>
              </w:rPr>
              <w:t>表达能力</w:t>
            </w:r>
          </w:p>
        </w:tc>
        <w:tc>
          <w:tcPr>
            <w:tcW w:w="2754" w:type="pct"/>
            <w:vAlign w:val="center"/>
          </w:tcPr>
          <w:p>
            <w:r>
              <w:rPr>
                <w:rFonts w:hint="eastAsia"/>
                <w:lang w:eastAsia="zh-CN"/>
              </w:rPr>
              <w:t>课程论文</w:t>
            </w:r>
            <w:r>
              <w:rPr>
                <w:rFonts w:hint="eastAsia"/>
              </w:rPr>
              <w:t>、</w:t>
            </w:r>
            <w:r>
              <w:rPr>
                <w:rFonts w:hint="eastAsia"/>
                <w:lang w:eastAsia="zh-CN"/>
              </w:rPr>
              <w:t>实习总结、</w:t>
            </w:r>
            <w:r>
              <w:rPr>
                <w:rFonts w:hint="eastAsia"/>
              </w:rPr>
              <w:t>毕业设计等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61" w:type="pct"/>
            <w:vMerge w:val="continue"/>
            <w:vAlign w:val="center"/>
          </w:tcPr>
          <w:p/>
        </w:tc>
        <w:tc>
          <w:tcPr>
            <w:tcW w:w="615" w:type="pct"/>
            <w:vMerge w:val="restart"/>
            <w:vAlign w:val="center"/>
          </w:tcPr>
          <w:p>
            <w:r>
              <w:rPr>
                <w:rFonts w:hint="eastAsia"/>
              </w:rPr>
              <w:t>专业能力</w:t>
            </w:r>
          </w:p>
        </w:tc>
        <w:tc>
          <w:tcPr>
            <w:tcW w:w="1368" w:type="pct"/>
            <w:vAlign w:val="center"/>
          </w:tcPr>
          <w:p>
            <w:r>
              <w:rPr>
                <w:rFonts w:hint="eastAsia"/>
              </w:rPr>
              <w:t>从事专业技术工作能力</w:t>
            </w:r>
          </w:p>
        </w:tc>
        <w:tc>
          <w:tcPr>
            <w:tcW w:w="2754" w:type="pct"/>
            <w:vAlign w:val="center"/>
          </w:tcPr>
          <w:p>
            <w:pPr>
              <w:ind w:left="180" w:hanging="180" w:hangingChars="100"/>
            </w:pPr>
            <w:r>
              <w:rPr>
                <w:rFonts w:hint="eastAsia"/>
              </w:rPr>
              <w:t>所有专业基础课、专业核心课、专业选修课、专项实践环</w:t>
            </w:r>
            <w:r>
              <w:rPr>
                <w:rFonts w:hint="eastAsia"/>
                <w:lang w:eastAsia="zh-CN"/>
              </w:rPr>
              <w:t>节、</w:t>
            </w:r>
            <w:r>
              <w:t>学科竞赛、科研实践、企业</w:t>
            </w:r>
            <w:r>
              <w:rPr>
                <w:rFonts w:hint="eastAsia"/>
              </w:rPr>
              <w:t>实习等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61" w:type="pct"/>
            <w:vMerge w:val="continue"/>
            <w:vAlign w:val="center"/>
          </w:tcPr>
          <w:p/>
        </w:tc>
        <w:tc>
          <w:tcPr>
            <w:tcW w:w="615" w:type="pct"/>
            <w:vMerge w:val="continue"/>
            <w:vAlign w:val="center"/>
          </w:tcPr>
          <w:p/>
        </w:tc>
        <w:tc>
          <w:tcPr>
            <w:tcW w:w="1368" w:type="pct"/>
            <w:vAlign w:val="center"/>
          </w:tcPr>
          <w:p>
            <w:r>
              <w:rPr>
                <w:rFonts w:hint="eastAsia"/>
              </w:rPr>
              <w:t>学习能力</w:t>
            </w:r>
          </w:p>
        </w:tc>
        <w:tc>
          <w:tcPr>
            <w:tcW w:w="2754" w:type="pct"/>
            <w:vAlign w:val="center"/>
          </w:tcPr>
          <w:p>
            <w:r>
              <w:rPr>
                <w:rFonts w:hint="eastAsia"/>
              </w:rPr>
              <w:t>所有课程以及专项实践、课外实践、</w:t>
            </w:r>
            <w:r>
              <w:t>学科竞赛</w:t>
            </w:r>
            <w:r>
              <w:rPr>
                <w:rFonts w:hint="eastAsia"/>
                <w:lang w:eastAsia="zh-CN"/>
              </w:rPr>
              <w:t>、</w:t>
            </w:r>
            <w:r>
              <w:t>科研实践、企业学习</w:t>
            </w:r>
            <w:r>
              <w:rPr>
                <w:rFonts w:hint="eastAsia"/>
              </w:rPr>
              <w:t>、社团活动、读书活动、文献检索、大学生职业规划与就业指导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61" w:type="pct"/>
            <w:vMerge w:val="continue"/>
            <w:vAlign w:val="center"/>
          </w:tcPr>
          <w:p/>
        </w:tc>
        <w:tc>
          <w:tcPr>
            <w:tcW w:w="615" w:type="pct"/>
            <w:vMerge w:val="continue"/>
            <w:vAlign w:val="center"/>
          </w:tcPr>
          <w:p/>
        </w:tc>
        <w:tc>
          <w:tcPr>
            <w:tcW w:w="1368" w:type="pct"/>
            <w:vAlign w:val="center"/>
          </w:tcPr>
          <w:p>
            <w:r>
              <w:t>团队合作能力</w:t>
            </w:r>
          </w:p>
        </w:tc>
        <w:tc>
          <w:tcPr>
            <w:tcW w:w="2754" w:type="pct"/>
            <w:vAlign w:val="center"/>
          </w:tcPr>
          <w:p>
            <w:r>
              <w:t>社团活动、企业学习</w:t>
            </w:r>
            <w:r>
              <w:rPr>
                <w:rFonts w:hint="eastAsia"/>
              </w:rPr>
              <w:t>、</w:t>
            </w:r>
            <w:r>
              <w:t>学科竞赛、</w:t>
            </w:r>
            <w:r>
              <w:rPr>
                <w:rFonts w:hint="eastAsia"/>
              </w:rPr>
              <w:t>专业课课程大作业</w:t>
            </w:r>
            <w:r>
              <w:t>、</w:t>
            </w:r>
            <w:r>
              <w:rPr>
                <w:rFonts w:hint="eastAsia"/>
              </w:rPr>
              <w:t>相关公选课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61" w:type="pct"/>
            <w:vMerge w:val="restart"/>
            <w:vAlign w:val="center"/>
          </w:tcPr>
          <w:p>
            <w:r>
              <w:rPr>
                <w:rFonts w:hint="eastAsia"/>
              </w:rPr>
              <w:t>素质</w:t>
            </w:r>
          </w:p>
        </w:tc>
        <w:tc>
          <w:tcPr>
            <w:tcW w:w="615" w:type="pct"/>
            <w:vMerge w:val="restart"/>
            <w:vAlign w:val="center"/>
          </w:tcPr>
          <w:p>
            <w:r>
              <w:rPr>
                <w:rFonts w:hint="eastAsia"/>
              </w:rPr>
              <w:t>基本素质</w:t>
            </w:r>
          </w:p>
        </w:tc>
        <w:tc>
          <w:tcPr>
            <w:tcW w:w="1368" w:type="pct"/>
            <w:vAlign w:val="center"/>
          </w:tcPr>
          <w:p>
            <w:r>
              <w:t>人文</w:t>
            </w:r>
            <w:r>
              <w:rPr>
                <w:rFonts w:hint="eastAsia"/>
              </w:rPr>
              <w:t>科学素质</w:t>
            </w:r>
          </w:p>
        </w:tc>
        <w:tc>
          <w:tcPr>
            <w:tcW w:w="2754" w:type="pct"/>
            <w:vAlign w:val="center"/>
          </w:tcPr>
          <w:p>
            <w:r>
              <w:rPr>
                <w:rFonts w:hint="eastAsia"/>
              </w:rPr>
              <w:t>文科类、经管类、艺术类校级公选课、</w:t>
            </w:r>
            <w:r>
              <w:t>大学生心理健康、体育</w:t>
            </w:r>
            <w:r>
              <w:rPr>
                <w:rFonts w:hint="eastAsia"/>
              </w:rPr>
              <w:t>、系列讲座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61" w:type="pct"/>
            <w:vMerge w:val="continue"/>
            <w:vAlign w:val="center"/>
          </w:tcPr>
          <w:p/>
        </w:tc>
        <w:tc>
          <w:tcPr>
            <w:tcW w:w="615" w:type="pct"/>
            <w:vMerge w:val="continue"/>
            <w:vAlign w:val="center"/>
          </w:tcPr>
          <w:p/>
        </w:tc>
        <w:tc>
          <w:tcPr>
            <w:tcW w:w="1368" w:type="pct"/>
            <w:vAlign w:val="center"/>
          </w:tcPr>
          <w:p>
            <w:r>
              <w:rPr>
                <w:rFonts w:hint="eastAsia"/>
              </w:rPr>
              <w:t>思想道德素质</w:t>
            </w:r>
          </w:p>
        </w:tc>
        <w:tc>
          <w:tcPr>
            <w:tcW w:w="2754" w:type="pct"/>
            <w:vAlign w:val="center"/>
          </w:tcPr>
          <w:p>
            <w:r>
              <w:rPr>
                <w:rFonts w:hint="eastAsia"/>
              </w:rPr>
              <w:t>所有思政课、</w:t>
            </w:r>
            <w:r>
              <w:t>形势与政策、</w:t>
            </w:r>
            <w:r>
              <w:rPr>
                <w:rFonts w:hint="eastAsia"/>
              </w:rPr>
              <w:t>大学生职业规划与就业指导、</w:t>
            </w:r>
            <w:r>
              <w:t>校级公选课、社团活动、企业学习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61" w:type="pct"/>
            <w:vMerge w:val="continue"/>
            <w:vAlign w:val="center"/>
          </w:tcPr>
          <w:p/>
        </w:tc>
        <w:tc>
          <w:tcPr>
            <w:tcW w:w="615" w:type="pct"/>
            <w:vAlign w:val="center"/>
          </w:tcPr>
          <w:p>
            <w:r>
              <w:rPr>
                <w:rFonts w:hint="eastAsia"/>
              </w:rPr>
              <w:t>职业素质</w:t>
            </w:r>
          </w:p>
        </w:tc>
        <w:tc>
          <w:tcPr>
            <w:tcW w:w="1368" w:type="pct"/>
            <w:vAlign w:val="center"/>
          </w:tcPr>
          <w:p>
            <w:r>
              <w:rPr>
                <w:rFonts w:hint="eastAsia"/>
              </w:rPr>
              <w:t>职业素质</w:t>
            </w:r>
          </w:p>
        </w:tc>
        <w:tc>
          <w:tcPr>
            <w:tcW w:w="2754" w:type="pct"/>
            <w:vAlign w:val="center"/>
          </w:tcPr>
          <w:p>
            <w:r>
              <w:rPr>
                <w:rFonts w:hint="eastAsia"/>
              </w:rPr>
              <w:t>全部专业基础课、专业课以及各种课外实践、专业导论与学科前沿讲座</w:t>
            </w:r>
          </w:p>
        </w:tc>
      </w:tr>
    </w:tbl>
    <w:p>
      <w:pPr>
        <w:ind w:firstLine="562" w:firstLineChars="200"/>
        <w:rPr>
          <w:b/>
          <w:bCs/>
          <w:sz w:val="28"/>
        </w:rPr>
      </w:pPr>
    </w:p>
    <w:p>
      <w:pPr>
        <w:ind w:firstLine="562" w:firstLineChars="200"/>
        <w:rPr>
          <w:b/>
          <w:bCs/>
          <w:sz w:val="28"/>
        </w:rPr>
      </w:pPr>
      <w:r>
        <w:rPr>
          <w:rFonts w:hint="eastAsia"/>
          <w:b/>
          <w:bCs/>
          <w:sz w:val="28"/>
        </w:rPr>
        <w:t>（三）毕业要求与学位授予条件标准</w:t>
      </w:r>
    </w:p>
    <w:p>
      <w:pPr>
        <w:ind w:firstLine="562" w:firstLineChars="200"/>
        <w:rPr>
          <w:b/>
          <w:sz w:val="28"/>
        </w:rPr>
      </w:pPr>
      <w:r>
        <w:rPr>
          <w:rFonts w:hint="eastAsia"/>
          <w:b/>
          <w:bCs/>
          <w:sz w:val="28"/>
        </w:rPr>
        <w:t>1.</w:t>
      </w:r>
      <w:r>
        <w:rPr>
          <w:rFonts w:hint="eastAsia"/>
          <w:b/>
          <w:sz w:val="28"/>
        </w:rPr>
        <w:t>毕业要求</w:t>
      </w:r>
    </w:p>
    <w:p>
      <w:pPr>
        <w:ind w:firstLine="560" w:firstLineChars="200"/>
        <w:rPr>
          <w:sz w:val="28"/>
        </w:rPr>
      </w:pPr>
      <w:r>
        <w:rPr>
          <w:rFonts w:hint="eastAsia"/>
          <w:color w:val="FF0000"/>
          <w:sz w:val="28"/>
        </w:rPr>
        <w:t>学生在规定的修业年限内必须完成</w:t>
      </w:r>
      <w:r>
        <w:rPr>
          <w:color w:val="FF0000"/>
          <w:sz w:val="28"/>
        </w:rPr>
        <w:t xml:space="preserve"> </w:t>
      </w:r>
      <w:r>
        <w:rPr>
          <w:rFonts w:hint="eastAsia"/>
          <w:color w:val="FF0000"/>
          <w:sz w:val="28"/>
          <w:lang w:val="en-US" w:eastAsia="zh-CN"/>
        </w:rPr>
        <w:t>74.5</w:t>
      </w:r>
      <w:r>
        <w:rPr>
          <w:color w:val="FF0000"/>
          <w:sz w:val="28"/>
        </w:rPr>
        <w:t xml:space="preserve">学分，其中通识必修课 </w:t>
      </w:r>
      <w:r>
        <w:rPr>
          <w:rFonts w:hint="eastAsia"/>
          <w:color w:val="FF0000"/>
          <w:sz w:val="28"/>
          <w:lang w:val="en-US" w:eastAsia="zh-CN"/>
        </w:rPr>
        <w:t>19.5</w:t>
      </w:r>
      <w:r>
        <w:rPr>
          <w:color w:val="FF0000"/>
          <w:sz w:val="28"/>
        </w:rPr>
        <w:t>学分，通识选修课 3 学分，</w:t>
      </w:r>
      <w:r>
        <w:rPr>
          <w:rFonts w:hint="eastAsia"/>
          <w:color w:val="FF0000"/>
          <w:sz w:val="28"/>
        </w:rPr>
        <w:t>专业基础课</w:t>
      </w:r>
      <w:r>
        <w:rPr>
          <w:color w:val="FF0000"/>
          <w:sz w:val="28"/>
        </w:rPr>
        <w:t xml:space="preserve"> 1</w:t>
      </w:r>
      <w:r>
        <w:rPr>
          <w:rFonts w:hint="eastAsia"/>
          <w:color w:val="FF0000"/>
          <w:sz w:val="28"/>
          <w:lang w:val="en-US" w:eastAsia="zh-CN"/>
        </w:rPr>
        <w:t>3</w:t>
      </w:r>
      <w:r>
        <w:rPr>
          <w:color w:val="FF0000"/>
          <w:sz w:val="28"/>
        </w:rPr>
        <w:t>学分，专业</w:t>
      </w:r>
      <w:r>
        <w:rPr>
          <w:rFonts w:hint="eastAsia"/>
          <w:color w:val="FF0000"/>
          <w:sz w:val="28"/>
        </w:rPr>
        <w:t>核心</w:t>
      </w:r>
      <w:r>
        <w:rPr>
          <w:color w:val="FF0000"/>
          <w:sz w:val="28"/>
        </w:rPr>
        <w:t xml:space="preserve">课 </w:t>
      </w:r>
      <w:r>
        <w:rPr>
          <w:rFonts w:hint="eastAsia"/>
          <w:color w:val="FF0000"/>
          <w:sz w:val="28"/>
          <w:lang w:val="en-US" w:eastAsia="zh-CN"/>
        </w:rPr>
        <w:t>12</w:t>
      </w:r>
      <w:r>
        <w:rPr>
          <w:color w:val="FF0000"/>
          <w:sz w:val="28"/>
        </w:rPr>
        <w:t xml:space="preserve"> 学分，</w:t>
      </w:r>
      <w:r>
        <w:rPr>
          <w:rFonts w:hint="eastAsia"/>
          <w:color w:val="FF0000"/>
          <w:sz w:val="28"/>
        </w:rPr>
        <w:t>专业拓展课</w:t>
      </w:r>
      <w:r>
        <w:rPr>
          <w:color w:val="FF0000"/>
          <w:sz w:val="28"/>
        </w:rPr>
        <w:t xml:space="preserve"> </w:t>
      </w:r>
      <w:r>
        <w:rPr>
          <w:rFonts w:hint="eastAsia"/>
          <w:color w:val="FF0000"/>
          <w:sz w:val="28"/>
          <w:lang w:val="en-US" w:eastAsia="zh-CN"/>
        </w:rPr>
        <w:t>8</w:t>
      </w:r>
      <w:r>
        <w:rPr>
          <w:rFonts w:hint="eastAsia"/>
          <w:color w:val="FF0000"/>
          <w:sz w:val="28"/>
        </w:rPr>
        <w:t>学</w:t>
      </w:r>
      <w:r>
        <w:rPr>
          <w:color w:val="FF0000"/>
          <w:sz w:val="28"/>
        </w:rPr>
        <w:t>分，</w:t>
      </w:r>
      <w:r>
        <w:rPr>
          <w:rFonts w:hint="eastAsia"/>
          <w:color w:val="FF0000"/>
          <w:sz w:val="28"/>
        </w:rPr>
        <w:t>专项实践模块</w:t>
      </w:r>
      <w:r>
        <w:rPr>
          <w:color w:val="FF0000"/>
          <w:sz w:val="28"/>
        </w:rPr>
        <w:t xml:space="preserve"> </w:t>
      </w:r>
      <w:r>
        <w:rPr>
          <w:rFonts w:hint="eastAsia"/>
          <w:color w:val="FF0000"/>
          <w:sz w:val="28"/>
          <w:lang w:val="en-US" w:eastAsia="zh-CN"/>
        </w:rPr>
        <w:t>19</w:t>
      </w:r>
      <w:r>
        <w:rPr>
          <w:color w:val="FF0000"/>
          <w:sz w:val="28"/>
        </w:rPr>
        <w:t xml:space="preserve"> 学分</w:t>
      </w:r>
      <w:r>
        <w:rPr>
          <w:rFonts w:hint="eastAsia"/>
          <w:color w:val="FF0000"/>
          <w:sz w:val="28"/>
        </w:rPr>
        <w:t>。</w:t>
      </w:r>
      <w:r>
        <w:rPr>
          <w:rFonts w:hint="eastAsia"/>
          <w:sz w:val="28"/>
        </w:rPr>
        <w:t>学生毕业体质测试成绩应达到</w:t>
      </w:r>
      <w:r>
        <w:rPr>
          <w:color w:val="FF0000"/>
          <w:sz w:val="28"/>
        </w:rPr>
        <w:t xml:space="preserve"> 50 </w:t>
      </w:r>
      <w:r>
        <w:rPr>
          <w:sz w:val="28"/>
        </w:rPr>
        <w:t>分，特殊情况可依有关文件规定免</w:t>
      </w:r>
      <w:r>
        <w:rPr>
          <w:rFonts w:hint="eastAsia"/>
          <w:sz w:val="28"/>
        </w:rPr>
        <w:t>予测试。学生毕业时，通过毕业资格审查方准毕业。颁发</w:t>
      </w:r>
      <w:r>
        <w:rPr>
          <w:rFonts w:hint="eastAsia"/>
          <w:color w:val="FF0000"/>
          <w:sz w:val="28"/>
          <w:lang w:eastAsia="zh-CN"/>
        </w:rPr>
        <w:t>海南热带海洋学院财务管理</w:t>
      </w:r>
      <w:r>
        <w:rPr>
          <w:rFonts w:hint="eastAsia"/>
          <w:color w:val="FF0000"/>
          <w:sz w:val="28"/>
        </w:rPr>
        <w:t>专业本科毕业证书。</w:t>
      </w:r>
    </w:p>
    <w:p>
      <w:pPr>
        <w:ind w:firstLine="562" w:firstLineChars="200"/>
        <w:rPr>
          <w:rFonts w:hint="eastAsia"/>
          <w:sz w:val="28"/>
        </w:rPr>
      </w:pPr>
      <w:r>
        <w:rPr>
          <w:rFonts w:hint="eastAsia"/>
          <w:b/>
          <w:bCs/>
          <w:sz w:val="28"/>
        </w:rPr>
        <w:t>2.学位授予</w:t>
      </w:r>
      <w:r>
        <w:rPr>
          <w:rFonts w:hint="eastAsia"/>
          <w:sz w:val="28"/>
        </w:rPr>
        <w:t xml:space="preserve">条件 </w:t>
      </w:r>
    </w:p>
    <w:p>
      <w:pPr>
        <w:ind w:firstLine="560" w:firstLineChars="200"/>
        <w:rPr>
          <w:sz w:val="28"/>
        </w:rPr>
      </w:pPr>
      <w:r>
        <w:rPr>
          <w:rFonts w:hint="eastAsia"/>
          <w:sz w:val="28"/>
        </w:rPr>
        <w:t>毕业时符合以下条件之一的，由（联办本科具体名称）授予</w:t>
      </w:r>
      <w:r>
        <w:rPr>
          <w:rFonts w:hint="eastAsia"/>
          <w:sz w:val="28"/>
          <w:lang w:eastAsia="zh-CN"/>
        </w:rPr>
        <w:t>财务管理</w:t>
      </w:r>
      <w:r>
        <w:rPr>
          <w:rFonts w:hint="eastAsia"/>
          <w:sz w:val="28"/>
        </w:rPr>
        <w:t>专业</w:t>
      </w:r>
      <w:r>
        <w:rPr>
          <w:sz w:val="28"/>
        </w:rPr>
        <w:t>学位。</w:t>
      </w:r>
    </w:p>
    <w:p>
      <w:pPr>
        <w:ind w:firstLine="560" w:firstLineChars="200"/>
        <w:rPr>
          <w:rFonts w:hint="eastAsia"/>
          <w:sz w:val="28"/>
        </w:rPr>
      </w:pPr>
      <w:r>
        <w:rPr>
          <w:rFonts w:hint="eastAsia"/>
          <w:sz w:val="28"/>
        </w:rPr>
        <w:t>（1）取得会计初级专业技术资格；</w:t>
      </w:r>
    </w:p>
    <w:p>
      <w:pPr>
        <w:ind w:firstLine="560" w:firstLineChars="200"/>
        <w:rPr>
          <w:rFonts w:hint="eastAsia"/>
          <w:color w:val="FF0000"/>
          <w:sz w:val="28"/>
          <w:highlight w:val="yellow"/>
        </w:rPr>
      </w:pPr>
      <w:r>
        <w:rPr>
          <w:rFonts w:hint="eastAsia"/>
          <w:color w:val="FF0000"/>
          <w:sz w:val="28"/>
          <w:highlight w:val="yellow"/>
        </w:rPr>
        <w:t>（2）取得相关专业</w:t>
      </w:r>
      <w:r>
        <w:rPr>
          <w:rFonts w:hint="eastAsia"/>
          <w:color w:val="FF0000"/>
          <w:sz w:val="28"/>
          <w:highlight w:val="yellow"/>
          <w:lang w:val="en-US" w:eastAsia="zh-CN"/>
        </w:rPr>
        <w:t>1</w:t>
      </w:r>
      <w:r>
        <w:rPr>
          <w:rFonts w:hint="eastAsia"/>
          <w:color w:val="FF0000"/>
          <w:sz w:val="28"/>
          <w:highlight w:val="yellow"/>
        </w:rPr>
        <w:t>个职业技能等级证书；</w:t>
      </w:r>
    </w:p>
    <w:p>
      <w:pPr>
        <w:ind w:firstLine="560" w:firstLineChars="200"/>
        <w:rPr>
          <w:rFonts w:hint="eastAsia"/>
          <w:sz w:val="28"/>
        </w:rPr>
      </w:pPr>
      <w:r>
        <w:rPr>
          <w:rFonts w:hint="eastAsia"/>
          <w:sz w:val="28"/>
        </w:rPr>
        <w:t>（3）获得一项学科竞赛奖励，校级竞赛一等奖（排名前2）、省级竞赛三等奖（排名前3）及以上；</w:t>
      </w:r>
    </w:p>
    <w:p>
      <w:pPr>
        <w:widowControl/>
        <w:jc w:val="left"/>
        <w:rPr>
          <w:color w:val="FF0000"/>
          <w:sz w:val="28"/>
        </w:rPr>
      </w:pPr>
      <w:r>
        <w:rPr>
          <w:color w:val="FF0000"/>
          <w:sz w:val="28"/>
        </w:rPr>
        <w:br w:type="page"/>
      </w:r>
    </w:p>
    <w:p>
      <w:pPr>
        <w:pStyle w:val="2"/>
        <w:spacing w:before="0" w:after="0" w:line="240" w:lineRule="auto"/>
        <w:rPr>
          <w:sz w:val="28"/>
          <w:szCs w:val="28"/>
        </w:rPr>
      </w:pPr>
      <w:r>
        <w:rPr>
          <w:rFonts w:hint="eastAsia"/>
          <w:sz w:val="28"/>
          <w:szCs w:val="28"/>
        </w:rPr>
        <w:t>六、课程设置</w:t>
      </w:r>
    </w:p>
    <w:p>
      <w:pPr>
        <w:ind w:firstLine="560" w:firstLineChars="200"/>
        <w:rPr>
          <w:color w:val="C00000"/>
          <w:sz w:val="28"/>
        </w:rPr>
      </w:pPr>
      <w:r>
        <w:rPr>
          <w:rFonts w:hint="eastAsia"/>
          <w:sz w:val="28"/>
        </w:rPr>
        <w:t>课程分为公共基础课、公共选修课、专业基础课、专业核心课、专业拓展课、专项实践模块六大类。以下是每门课程的详细说明。</w:t>
      </w:r>
      <w:bookmarkStart w:id="0" w:name="b1顶岗2"/>
    </w:p>
    <w:p>
      <w:pPr>
        <w:tabs>
          <w:tab w:val="center" w:pos="4524"/>
        </w:tabs>
        <w:jc w:val="center"/>
        <w:rPr>
          <w:b/>
          <w:bCs/>
          <w:sz w:val="24"/>
        </w:rPr>
      </w:pPr>
      <w:r>
        <w:rPr>
          <w:rFonts w:hint="eastAsia"/>
          <w:b/>
          <w:bCs/>
          <w:sz w:val="24"/>
        </w:rPr>
        <w:t>表5  课程设置说明表</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36" w:type="dxa"/>
          <w:left w:w="36" w:type="dxa"/>
          <w:bottom w:w="36" w:type="dxa"/>
          <w:right w:w="36" w:type="dxa"/>
        </w:tblCellMar>
      </w:tblPr>
      <w:tblGrid>
        <w:gridCol w:w="666"/>
        <w:gridCol w:w="1038"/>
        <w:gridCol w:w="7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454" w:hRule="atLeast"/>
          <w:jc w:val="center"/>
        </w:trPr>
        <w:tc>
          <w:tcPr>
            <w:tcW w:w="380" w:type="pct"/>
            <w:vAlign w:val="center"/>
          </w:tcPr>
          <w:p>
            <w:pPr>
              <w:jc w:val="center"/>
            </w:pPr>
            <w:r>
              <w:rPr>
                <w:rFonts w:hint="eastAsia"/>
              </w:rPr>
              <w:t>课程</w:t>
            </w:r>
          </w:p>
          <w:p>
            <w:pPr>
              <w:jc w:val="center"/>
            </w:pPr>
            <w:r>
              <w:rPr>
                <w:rFonts w:hint="eastAsia"/>
              </w:rPr>
              <w:t>模块</w:t>
            </w:r>
          </w:p>
        </w:tc>
        <w:tc>
          <w:tcPr>
            <w:tcW w:w="592" w:type="pct"/>
            <w:vAlign w:val="center"/>
          </w:tcPr>
          <w:p>
            <w:pPr>
              <w:jc w:val="center"/>
            </w:pPr>
            <w:r>
              <w:rPr>
                <w:rFonts w:hint="eastAsia"/>
              </w:rPr>
              <w:t>课程名称</w:t>
            </w:r>
          </w:p>
        </w:tc>
        <w:tc>
          <w:tcPr>
            <w:tcW w:w="4027" w:type="pct"/>
            <w:vAlign w:val="center"/>
          </w:tcPr>
          <w:p>
            <w:pPr>
              <w:jc w:val="center"/>
            </w:pPr>
            <w:r>
              <w:rPr>
                <w:rFonts w:hint="eastAsia"/>
              </w:rPr>
              <w:t>主要教学内容与教学目标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restart"/>
            <w:vAlign w:val="center"/>
          </w:tcPr>
          <w:p>
            <w:r>
              <w:rPr>
                <w:rFonts w:hint="eastAsia"/>
              </w:rPr>
              <w:t>公共基础课</w:t>
            </w:r>
          </w:p>
        </w:tc>
        <w:tc>
          <w:tcPr>
            <w:tcW w:w="592" w:type="pct"/>
            <w:vAlign w:val="center"/>
          </w:tcPr>
          <w:p>
            <w:pPr>
              <w:rPr>
                <w:rFonts w:hint="eastAsia" w:eastAsia="宋体"/>
                <w:lang w:val="en-US" w:eastAsia="zh-CN"/>
              </w:rPr>
            </w:pPr>
            <w:r>
              <w:rPr>
                <w:rFonts w:hint="eastAsia"/>
                <w:lang w:val="en-US" w:eastAsia="zh-CN"/>
              </w:rPr>
              <w:t>马克思主义基本原理</w:t>
            </w:r>
          </w:p>
        </w:tc>
        <w:tc>
          <w:tcPr>
            <w:tcW w:w="4027" w:type="pct"/>
            <w:vAlign w:val="center"/>
          </w:tcPr>
          <w:p>
            <w:pPr>
              <w:pStyle w:val="10"/>
              <w:shd w:val="clear" w:color="auto" w:fill="FFFFFF"/>
              <w:rPr>
                <w:rFonts w:hint="eastAsia" w:cs="Times New Roman"/>
                <w:color w:val="000000"/>
                <w:kern w:val="2"/>
                <w:sz w:val="18"/>
                <w:szCs w:val="28"/>
                <w:shd w:val="clear" w:color="auto" w:fill="FFFFFF"/>
              </w:rPr>
            </w:pPr>
            <w:r>
              <w:rPr>
                <w:rFonts w:hint="eastAsia" w:cs="Times New Roman"/>
                <w:b/>
                <w:kern w:val="2"/>
                <w:sz w:val="18"/>
                <w:szCs w:val="28"/>
              </w:rPr>
              <w:t>教学内容：</w:t>
            </w:r>
            <w:r>
              <w:rPr>
                <w:rFonts w:hint="eastAsia" w:cs="Times New Roman"/>
                <w:color w:val="000000"/>
                <w:kern w:val="2"/>
                <w:sz w:val="18"/>
                <w:szCs w:val="28"/>
                <w:shd w:val="clear" w:color="auto" w:fill="FFFFFF"/>
              </w:rPr>
              <w:t>本课程围绕什么是马克思主义、为什么要坚持马克思主义、怎样坚持和发展马克思主义主题，重点阐述马克思主义世界观和方法论，以人类社会发展规律为主线，涵盖马克思主义哲学、马克思主义政治经济学和科学社会主义。具体内容包括：马克思主义是关于无产阶级和人类解放的科学；世界的物质性及其发展规律；认识世界和改造世界；人类社会及其发展规律；资本主义的形成及其本质；资本主义发展的历史进程；社会主义社会及其发展；共产主义是人类最崇高的社会理想等等。</w:t>
            </w:r>
          </w:p>
          <w:p>
            <w:r>
              <w:rPr>
                <w:rFonts w:hint="eastAsia" w:cs="Times New Roman"/>
                <w:b/>
                <w:kern w:val="2"/>
                <w:sz w:val="18"/>
                <w:szCs w:val="28"/>
              </w:rPr>
              <w:t>教学目标：</w:t>
            </w:r>
            <w:r>
              <w:rPr>
                <w:rFonts w:hint="eastAsia" w:cs="Times New Roman"/>
                <w:color w:val="000000"/>
                <w:kern w:val="2"/>
                <w:sz w:val="18"/>
                <w:szCs w:val="28"/>
                <w:shd w:val="clear" w:color="auto" w:fill="FFFFFF"/>
              </w:rPr>
              <w:t>从理论与实践相结合的角度让学生接受系统的马克思主义理论教育，从整体上把握马克思主义的精神实质、基本理论和方法论原则；提升思想理论素养和逻辑思维能力；学会运用马克思主义的基本立场、观点和方法分析问题、解决问题、正确面向社会和把握自我；树立正确的世界观、人生观和价值观；树立建设中国特色社会主义的理想信念，为自觉投身民族复兴、国家富强伟大实践，奠定扎实理论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r>
              <w:rPr>
                <w:rFonts w:hint="eastAsia"/>
                <w:lang w:val="en-US" w:eastAsia="zh-CN"/>
              </w:rPr>
              <w:t>高等数学</w:t>
            </w:r>
          </w:p>
        </w:tc>
        <w:tc>
          <w:tcPr>
            <w:tcW w:w="4027" w:type="pct"/>
            <w:vAlign w:val="center"/>
          </w:tcPr>
          <w:p>
            <w:pPr>
              <w:rPr>
                <w:color w:val="000000"/>
                <w:shd w:val="clear" w:color="auto" w:fill="FFFFFF"/>
              </w:rPr>
            </w:pPr>
            <w:r>
              <w:rPr>
                <w:rFonts w:hint="eastAsia"/>
                <w:b/>
              </w:rPr>
              <w:t>教</w:t>
            </w:r>
            <w:r>
              <w:rPr>
                <w:rFonts w:hint="eastAsia"/>
                <w:b/>
                <w:color w:val="000000"/>
                <w:shd w:val="clear" w:color="auto" w:fill="FFFFFF"/>
              </w:rPr>
              <w:t>学内容：</w:t>
            </w:r>
            <w:r>
              <w:rPr>
                <w:rFonts w:hint="eastAsia"/>
                <w:color w:val="000000"/>
                <w:shd w:val="clear" w:color="auto" w:fill="FFFFFF"/>
              </w:rPr>
              <w:t>本课程主要讲授</w:t>
            </w:r>
            <w:r>
              <w:rPr>
                <w:color w:val="000000"/>
                <w:shd w:val="clear" w:color="auto" w:fill="FFFFFF"/>
              </w:rPr>
              <w:t>函数、极限与连续</w:t>
            </w:r>
            <w:r>
              <w:rPr>
                <w:rFonts w:hint="eastAsia"/>
                <w:color w:val="000000"/>
                <w:shd w:val="clear" w:color="auto" w:fill="FFFFFF"/>
              </w:rPr>
              <w:t>；</w:t>
            </w:r>
            <w:r>
              <w:rPr>
                <w:color w:val="000000"/>
                <w:shd w:val="clear" w:color="auto" w:fill="FFFFFF"/>
              </w:rPr>
              <w:t xml:space="preserve"> 导数与微分</w:t>
            </w:r>
            <w:r>
              <w:rPr>
                <w:rFonts w:hint="eastAsia"/>
                <w:color w:val="000000"/>
                <w:shd w:val="clear" w:color="auto" w:fill="FFFFFF"/>
              </w:rPr>
              <w:t>；</w:t>
            </w:r>
            <w:r>
              <w:rPr>
                <w:color w:val="000000"/>
                <w:shd w:val="clear" w:color="auto" w:fill="FFFFFF"/>
              </w:rPr>
              <w:t>中值定理与导数应用</w:t>
            </w:r>
            <w:r>
              <w:rPr>
                <w:rFonts w:hint="eastAsia"/>
                <w:color w:val="000000"/>
                <w:shd w:val="clear" w:color="auto" w:fill="FFFFFF"/>
              </w:rPr>
              <w:t>；</w:t>
            </w:r>
            <w:r>
              <w:rPr>
                <w:color w:val="000000"/>
                <w:shd w:val="clear" w:color="auto" w:fill="FFFFFF"/>
              </w:rPr>
              <w:t>不定积分</w:t>
            </w:r>
            <w:r>
              <w:rPr>
                <w:rFonts w:hint="eastAsia"/>
                <w:color w:val="000000"/>
                <w:shd w:val="clear" w:color="auto" w:fill="FFFFFF"/>
              </w:rPr>
              <w:t>；</w:t>
            </w:r>
            <w:r>
              <w:rPr>
                <w:color w:val="000000"/>
                <w:shd w:val="clear" w:color="auto" w:fill="FFFFFF"/>
              </w:rPr>
              <w:t>定积分</w:t>
            </w:r>
            <w:r>
              <w:rPr>
                <w:rFonts w:hint="eastAsia"/>
                <w:color w:val="000000"/>
                <w:shd w:val="clear" w:color="auto" w:fill="FFFFFF"/>
              </w:rPr>
              <w:t>；</w:t>
            </w:r>
            <w:r>
              <w:rPr>
                <w:color w:val="000000"/>
                <w:shd w:val="clear" w:color="auto" w:fill="FFFFFF"/>
              </w:rPr>
              <w:t>定积分应用</w:t>
            </w:r>
            <w:r>
              <w:rPr>
                <w:rFonts w:hint="eastAsia"/>
                <w:color w:val="000000"/>
                <w:shd w:val="clear" w:color="auto" w:fill="FFFFFF"/>
              </w:rPr>
              <w:t>；</w:t>
            </w:r>
            <w:r>
              <w:rPr>
                <w:color w:val="000000"/>
                <w:shd w:val="clear" w:color="auto" w:fill="FFFFFF"/>
              </w:rPr>
              <w:t>空间解析几何与向量代数</w:t>
            </w:r>
            <w:r>
              <w:rPr>
                <w:rFonts w:hint="eastAsia"/>
                <w:color w:val="000000"/>
                <w:shd w:val="clear" w:color="auto" w:fill="FFFFFF"/>
              </w:rPr>
              <w:t>；</w:t>
            </w:r>
            <w:r>
              <w:rPr>
                <w:color w:val="000000"/>
                <w:shd w:val="clear" w:color="auto" w:fill="FFFFFF"/>
              </w:rPr>
              <w:t>多元函数微分法及其应用</w:t>
            </w:r>
            <w:r>
              <w:rPr>
                <w:rFonts w:hint="eastAsia"/>
                <w:color w:val="000000"/>
                <w:shd w:val="clear" w:color="auto" w:fill="FFFFFF"/>
              </w:rPr>
              <w:t>；</w:t>
            </w:r>
            <w:r>
              <w:rPr>
                <w:color w:val="000000"/>
                <w:shd w:val="clear" w:color="auto" w:fill="FFFFFF"/>
              </w:rPr>
              <w:t>重积分</w:t>
            </w:r>
            <w:r>
              <w:rPr>
                <w:rFonts w:hint="eastAsia"/>
                <w:color w:val="000000"/>
                <w:shd w:val="clear" w:color="auto" w:fill="FFFFFF"/>
              </w:rPr>
              <w:t>等内容。</w:t>
            </w:r>
          </w:p>
          <w:p>
            <w:r>
              <w:rPr>
                <w:rFonts w:hint="eastAsia"/>
                <w:b/>
                <w:color w:val="000000"/>
                <w:shd w:val="clear" w:color="auto" w:fill="FFFFFF"/>
              </w:rPr>
              <w:t>教学目标：</w:t>
            </w:r>
            <w:r>
              <w:rPr>
                <w:rFonts w:hint="eastAsia"/>
                <w:color w:val="000000"/>
                <w:shd w:val="clear" w:color="auto" w:fill="FFFFFF"/>
              </w:rPr>
              <w:t>通过本课程的学习，</w:t>
            </w:r>
            <w:r>
              <w:rPr>
                <w:color w:val="000000"/>
                <w:shd w:val="clear" w:color="auto" w:fill="FFFFFF"/>
              </w:rPr>
              <w:t>培养学生具有抽象思维能力、逻辑推理能力、空间想象能力、运算能力和自学能力</w:t>
            </w:r>
            <w:r>
              <w:rPr>
                <w:rFonts w:hint="eastAsia"/>
                <w:color w:val="000000"/>
                <w:shd w:val="clear" w:color="auto" w:fill="FFFFFF"/>
              </w:rPr>
              <w:t>，</w:t>
            </w:r>
            <w:r>
              <w:rPr>
                <w:color w:val="000000"/>
                <w:shd w:val="clear" w:color="auto" w:fill="FFFFFF"/>
              </w:rPr>
              <w:t>着眼于提高应用型本科生的数学素养，培养学生</w:t>
            </w:r>
            <w:r>
              <w:t>在处理问题时善于从量的方面去观察、抽象和研究，</w:t>
            </w:r>
            <w:r>
              <w:rPr>
                <w:rFonts w:hint="eastAsia"/>
              </w:rPr>
              <w:t>更</w:t>
            </w:r>
            <w:r>
              <w:t>特别培养学生用定性与定量相结合的方法解决实际问题的意识、兴趣和能力，以及综合运用所学知识去分析问题和解决问题的能力。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pPr>
              <w:rPr>
                <w:rFonts w:hint="eastAsia" w:eastAsia="宋体"/>
                <w:lang w:eastAsia="zh-CN"/>
              </w:rPr>
            </w:pPr>
            <w:r>
              <w:rPr>
                <w:rFonts w:hint="eastAsia"/>
                <w:lang w:eastAsia="zh-CN"/>
              </w:rPr>
              <w:t>文献检索与科技论文写作</w:t>
            </w:r>
          </w:p>
        </w:tc>
        <w:tc>
          <w:tcPr>
            <w:tcW w:w="4027" w:type="pct"/>
            <w:vAlign w:val="center"/>
          </w:tcPr>
          <w:p>
            <w:r>
              <w:rPr>
                <w:rFonts w:hint="eastAsia"/>
                <w:b/>
              </w:rPr>
              <w:t>教学内容：</w:t>
            </w:r>
            <w:r>
              <w:rPr>
                <w:rFonts w:hint="eastAsia"/>
                <w:color w:val="000000"/>
                <w:shd w:val="clear" w:color="auto" w:fill="FFFFFF"/>
              </w:rPr>
              <w:t>本课程主要讲授文献概念、文献的存储与检索、数据库的结构与特点、检索策略的制定与调整、检索途径、检索方法与技术、检索步骤；分门别类的讲授文摘型数据库、常用中英文全文型数据资源、引文检索、专利和标准等特种文献、网络搜索引擎的使用等核心内容；讲授论文分类和特点；学术论文的国家标准和论文主体结构；介绍科技论文、综述论文、毕业论文的撰写方法和期刊投稿方法。</w:t>
            </w:r>
          </w:p>
          <w:p>
            <w:r>
              <w:rPr>
                <w:rFonts w:hint="eastAsia"/>
                <w:b/>
              </w:rPr>
              <w:t>教学目标：</w:t>
            </w:r>
            <w:r>
              <w:rPr>
                <w:rFonts w:hint="eastAsia"/>
              </w:rPr>
              <w:t>通过本课程的学习，学生养成自主学习的习惯和独立获取科学有效信息的能力，掌握文献信息检索的基础知识及信息处理技能，较为熟练地利用图书馆馆藏传统文献检索工具和网络学术数据库来查检、获取学习与研究中所需的文献信息，并对我国有关的信息安全与知识产权方面的法律法规和常识有一定的了解，初步形成负责任地使用和处理文献资源的意识与观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90" w:hRule="atLeast"/>
          <w:jc w:val="center"/>
        </w:trPr>
        <w:tc>
          <w:tcPr>
            <w:tcW w:w="380" w:type="pct"/>
            <w:vMerge w:val="continue"/>
            <w:vAlign w:val="center"/>
          </w:tcPr>
          <w:p/>
        </w:tc>
        <w:tc>
          <w:tcPr>
            <w:tcW w:w="592" w:type="pct"/>
            <w:vAlign w:val="center"/>
          </w:tcPr>
          <w:p>
            <w:pPr>
              <w:rPr>
                <w:rFonts w:hint="eastAsia" w:eastAsia="宋体"/>
                <w:lang w:val="en-US" w:eastAsia="zh-CN"/>
              </w:rPr>
            </w:pPr>
            <w:r>
              <w:rPr>
                <w:rFonts w:hint="eastAsia"/>
                <w:lang w:val="en-US" w:eastAsia="zh-CN"/>
              </w:rPr>
              <w:t>大数据思维</w:t>
            </w:r>
          </w:p>
        </w:tc>
        <w:tc>
          <w:tcPr>
            <w:tcW w:w="4027" w:type="pct"/>
            <w:vAlign w:val="center"/>
          </w:tcPr>
          <w:p>
            <w:r>
              <w:rPr>
                <w:rFonts w:hint="eastAsia"/>
                <w:b/>
                <w:bCs/>
              </w:rPr>
              <w:t>教学内容：</w:t>
            </w:r>
            <w:r>
              <w:rPr>
                <w:rFonts w:hint="eastAsia"/>
              </w:rPr>
              <w:t>本课程通过认识大数据的基本内容，深入了解数据挖掘相关知识的基本内容</w:t>
            </w:r>
            <w:r>
              <w:t>，对大数据</w:t>
            </w:r>
            <w:r>
              <w:rPr>
                <w:rFonts w:hint="eastAsia"/>
              </w:rPr>
              <w:t>在电商零售等领域的实际应用有详尽的了解，</w:t>
            </w:r>
            <w:r>
              <w:t xml:space="preserve"> </w:t>
            </w:r>
            <w:r>
              <w:rPr>
                <w:rFonts w:hint="eastAsia"/>
              </w:rPr>
              <w:t>并利用大数据挖掘互联网营销价值</w:t>
            </w:r>
            <w:r>
              <w:t>。</w:t>
            </w:r>
          </w:p>
          <w:p>
            <w:r>
              <w:rPr>
                <w:rFonts w:hint="eastAsia" w:cs="Times New Roman"/>
                <w:b/>
                <w:bCs/>
                <w:kern w:val="2"/>
                <w:sz w:val="18"/>
                <w:szCs w:val="28"/>
              </w:rPr>
              <w:t>教学目标：</w:t>
            </w:r>
            <w:r>
              <w:rPr>
                <w:rFonts w:hint="eastAsia" w:cs="Times New Roman"/>
                <w:kern w:val="2"/>
                <w:sz w:val="18"/>
                <w:szCs w:val="28"/>
              </w:rPr>
              <w:t>本课程的主要目的在于培养学生们的互联网大数据思维，让学生对互联网大数据时代对</w:t>
            </w:r>
            <w:r>
              <w:rPr>
                <w:rFonts w:cs="Times New Roman"/>
                <w:kern w:val="2"/>
                <w:sz w:val="18"/>
                <w:szCs w:val="28"/>
              </w:rPr>
              <w:t>传统行业的冲击和影响。通过理论结合案例的教学方式，让学生清晰认识到大数据的价值，以及现有企业对大数据的处理技术和处理方式，并通过学生自主讨论和讲解，使学生具有将数据进行智能转换的实际操作和结果分析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pPr>
              <w:rPr>
                <w:rFonts w:hint="eastAsia"/>
                <w:lang w:eastAsia="zh-CN"/>
              </w:rPr>
            </w:pPr>
            <w:r>
              <w:rPr>
                <w:rFonts w:hint="eastAsia"/>
                <w:lang w:eastAsia="zh-CN"/>
              </w:rPr>
              <w:t>大学美育教育</w:t>
            </w:r>
          </w:p>
        </w:tc>
        <w:tc>
          <w:tcPr>
            <w:tcW w:w="4027" w:type="pct"/>
            <w:vAlign w:val="center"/>
          </w:tcPr>
          <w:p>
            <w:pPr>
              <w:rPr>
                <w:b/>
              </w:rPr>
            </w:pPr>
            <w:r>
              <w:rPr>
                <w:rFonts w:hint="eastAsia"/>
                <w:b/>
              </w:rPr>
              <w:t>教学内容：</w:t>
            </w:r>
            <w:r>
              <w:rPr>
                <w:rFonts w:hint="eastAsia"/>
                <w:bCs/>
              </w:rPr>
              <w:t>本课程以自然美、社会美、艺术美为基点，导入美学概念及分类、特点；音乐美；艺术美鉴赏；戏剧艺术之美；辅以本土民间工艺美；文学艺术之美等，并以推动优秀传统文化教育作为美育培根铸魂的基础，使之创造性转化和创新性发展。</w:t>
            </w:r>
          </w:p>
          <w:p>
            <w:pPr>
              <w:rPr>
                <w:rFonts w:hint="eastAsia"/>
              </w:rPr>
            </w:pPr>
            <w:r>
              <w:rPr>
                <w:rFonts w:hint="eastAsia"/>
                <w:b/>
              </w:rPr>
              <w:t>教学目标：</w:t>
            </w:r>
            <w:r>
              <w:rPr>
                <w:rFonts w:hint="eastAsia"/>
                <w:bCs/>
              </w:rPr>
              <w:t>美育的主体是艺术教育。</w:t>
            </w:r>
            <w:r>
              <w:rPr>
                <w:rFonts w:hint="eastAsia"/>
                <w:color w:val="000000"/>
                <w:shd w:val="clear" w:color="auto" w:fill="FFFFFF"/>
              </w:rPr>
              <w:t>通过</w:t>
            </w:r>
            <w:r>
              <w:rPr>
                <w:rFonts w:hint="eastAsia"/>
                <w:bCs/>
              </w:rPr>
              <w:t>美学和艺术的教育和赏析，旨在培养学生对美好事物的欣赏能力，使学生具有正确理解欣赏现实美和艺术美的知识与能力，从而提升个人的气质</w:t>
            </w:r>
            <w:r>
              <w:t>、</w:t>
            </w:r>
            <w:r>
              <w:rPr>
                <w:rFonts w:hint="eastAsia"/>
                <w:bCs/>
              </w:rPr>
              <w:t>内涵修养。美育不仅是优化学生性情、完善学生人格和培养学生审美能力的教育，也是活跃学生思维、增强学生创造力和激励学生精神的教育。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pPr>
              <w:rPr>
                <w:rFonts w:hint="eastAsia" w:eastAsia="宋体"/>
                <w:lang w:val="en-US" w:eastAsia="zh-CN"/>
              </w:rPr>
            </w:pPr>
            <w:r>
              <w:rPr>
                <w:rFonts w:hint="eastAsia"/>
                <w:lang w:val="en-US" w:eastAsia="zh-CN"/>
              </w:rPr>
              <w:t>财经英语阅读</w:t>
            </w:r>
          </w:p>
        </w:tc>
        <w:tc>
          <w:tcPr>
            <w:tcW w:w="4027" w:type="pct"/>
            <w:vAlign w:val="center"/>
          </w:tcPr>
          <w:p>
            <w:pPr>
              <w:ind w:right="28"/>
              <w:rPr>
                <w:rFonts w:hint="eastAsia"/>
                <w:b w:val="0"/>
                <w:bCs w:val="0"/>
                <w:lang w:val="en" w:eastAsia="zh-CN"/>
              </w:rPr>
            </w:pPr>
            <w:r>
              <w:rPr>
                <w:rFonts w:hint="eastAsia"/>
                <w:b/>
              </w:rPr>
              <w:t>教学内容：</w:t>
            </w:r>
            <w:r>
              <w:rPr>
                <w:rFonts w:hint="eastAsia"/>
                <w:b w:val="0"/>
                <w:bCs w:val="0"/>
                <w:lang w:eastAsia="zh-CN"/>
              </w:rPr>
              <w:t>本课程内容围绕当今社会的热门财经类话题，选材于国内外的经济学专著、财经类书籍、刊物、新闻报道，选材独特、时代感强、内容丰富，并具有趣味性、时代性和实用性。所提供的阅读材料丰富有趣，有机地把学生需要掌握的相关基础知识、专业词汇、及阅读技巧巧妙结合起来，由易到难，由专业基础知识的呈现到拓展知识的延伸。具体内容包括12章节：全球化的经济合作、金融市场国际贸易、财务管理、企业管理投资与理财、银行业、保险、</w:t>
            </w:r>
            <w:r>
              <w:rPr>
                <w:rFonts w:hint="eastAsia"/>
                <w:b w:val="0"/>
                <w:bCs w:val="0"/>
                <w:lang w:val="en" w:eastAsia="zh-CN"/>
              </w:rPr>
              <w:t>市 场 营 销、新经济和新业务以及会计。每个章节安排一篇精讲文章，两篇拓展阅读文章，满足学生课上的学习和课后的自主学习。同时，</w:t>
            </w:r>
            <w:r>
              <w:rPr>
                <w:rFonts w:hint="eastAsia"/>
                <w:b w:val="0"/>
                <w:bCs w:val="0"/>
                <w:lang w:eastAsia="zh-CN"/>
              </w:rPr>
              <w:t>教材结合阅读材料的特点，将阅读技巧穿插于每个单元之中，并配合练习供学生进行技能训练与检测，</w:t>
            </w:r>
            <w:r>
              <w:rPr>
                <w:rFonts w:hint="eastAsia"/>
                <w:b w:val="0"/>
                <w:bCs w:val="0"/>
                <w:lang w:val="en" w:eastAsia="zh-CN"/>
              </w:rPr>
              <w:t>通过学习阅读技巧，完成阅读任务。</w:t>
            </w:r>
          </w:p>
          <w:p>
            <w:pPr>
              <w:pStyle w:val="36"/>
              <w:ind w:firstLine="0" w:firstLineChars="0"/>
              <w:rPr>
                <w:rFonts w:hint="eastAsia"/>
              </w:rPr>
            </w:pPr>
            <w:r>
              <w:rPr>
                <w:rFonts w:hint="eastAsia" w:hAnsi="Times New Roman"/>
                <w:b/>
                <w:szCs w:val="24"/>
              </w:rPr>
              <w:t>教学目标</w:t>
            </w:r>
            <w:r>
              <w:rPr>
                <w:rFonts w:hint="eastAsia"/>
                <w:b/>
              </w:rPr>
              <w:t>：</w:t>
            </w:r>
            <w:r>
              <w:rPr>
                <w:rFonts w:hint="eastAsia" w:ascii="宋体" w:hAnsi="宋体" w:eastAsia="宋体" w:cs="Times New Roman"/>
                <w:b w:val="0"/>
                <w:bCs w:val="0"/>
                <w:kern w:val="2"/>
                <w:sz w:val="18"/>
                <w:szCs w:val="28"/>
                <w:lang w:val="en-US" w:eastAsia="zh-CN" w:bidi="ar-SA"/>
              </w:rPr>
              <w:t>通过每个单元知识的学习，帮助学生了解相关的财经信息，掌握财经专业的相关基础知识、专业词汇、用语，为该专业学生学习后续专业英语课程打下坚实的基础；通过每个单元穿插的阅读技巧的学习，以及精读文章与泛读文章的阅读训练，帮助学生有效掌握读技巧，提高阅读能力，充分发挥学习自主学习能力，提升学生的专业知识与英语水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restart"/>
            <w:vAlign w:val="center"/>
          </w:tcPr>
          <w:p>
            <w:r>
              <w:rPr>
                <w:rFonts w:hint="eastAsia"/>
              </w:rPr>
              <w:t>专业基础课</w:t>
            </w:r>
          </w:p>
        </w:tc>
        <w:tc>
          <w:tcPr>
            <w:tcW w:w="592" w:type="pct"/>
            <w:vAlign w:val="center"/>
          </w:tcPr>
          <w:p>
            <w:pPr>
              <w:rPr>
                <w:rFonts w:hint="eastAsia" w:eastAsia="宋体"/>
                <w:lang w:eastAsia="zh-CN"/>
              </w:rPr>
            </w:pPr>
            <w:r>
              <w:rPr>
                <w:rFonts w:hint="eastAsia"/>
                <w:lang w:eastAsia="zh-CN"/>
              </w:rPr>
              <w:t>微观经济学</w:t>
            </w:r>
          </w:p>
        </w:tc>
        <w:tc>
          <w:tcPr>
            <w:tcW w:w="4027" w:type="pct"/>
            <w:vAlign w:val="center"/>
          </w:tcPr>
          <w:p>
            <w:pPr>
              <w:rPr>
                <w:rFonts w:hint="eastAsia" w:eastAsia="宋体"/>
                <w:lang w:val="en-US" w:eastAsia="zh-CN"/>
              </w:rPr>
            </w:pPr>
            <w:r>
              <w:rPr>
                <w:rFonts w:hint="eastAsia"/>
                <w:b/>
                <w:bCs/>
              </w:rPr>
              <w:t>教学内容：</w:t>
            </w:r>
            <w:r>
              <w:rPr>
                <w:rFonts w:hint="eastAsia"/>
                <w:b w:val="0"/>
                <w:bCs w:val="0"/>
                <w:lang w:eastAsia="zh-CN"/>
              </w:rPr>
              <w:t>本课程主要</w:t>
            </w:r>
            <w:r>
              <w:rPr>
                <w:rFonts w:hint="eastAsia"/>
                <w:lang w:eastAsia="zh-CN"/>
              </w:rPr>
              <w:t>学习微观经济学基本理论：效用论、市场论、生产论、成本论、一般均衡论、福利经济学、市场失灵和微观经济政策；以及微观经济政策；学习微观经济学的一般分析方法：实证分析方法和规范分析法相结合。通过对消费得和生产者的行为分析来说明市场经济的运行规律，说明市场经济如何调节社会经济的，能初步用微观经济理论和方法来分析中国经济实际问题。</w:t>
            </w:r>
          </w:p>
          <w:p>
            <w:pPr>
              <w:rPr>
                <w:rFonts w:hint="default"/>
                <w:lang w:val="en-US" w:eastAsia="zh-CN"/>
              </w:rPr>
            </w:pPr>
            <w:r>
              <w:rPr>
                <w:rFonts w:hint="eastAsia"/>
                <w:b/>
                <w:bCs/>
              </w:rPr>
              <w:t>教学目标：</w:t>
            </w:r>
            <w:r>
              <w:rPr>
                <w:rFonts w:hint="eastAsia"/>
                <w:lang w:eastAsia="zh-CN"/>
              </w:rPr>
              <w:t>通过本课程的学习，使学生对微观经济学的基本问题和基本观点有比较全面的认识，掌握微观经济学的基本概念、基本思想、基本分析方法和基本理论，对微观经济运行有一个比较全面的了解，建立起对微观经济运行的基本思想框架，为进一步学习其它专业课程打下理论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pPr>
              <w:rPr>
                <w:rFonts w:hint="eastAsia" w:eastAsia="宋体"/>
                <w:lang w:eastAsia="zh-CN"/>
              </w:rPr>
            </w:pPr>
            <w:r>
              <w:rPr>
                <w:rFonts w:hint="eastAsia"/>
                <w:lang w:eastAsia="zh-CN"/>
              </w:rPr>
              <w:t>管理学</w:t>
            </w:r>
          </w:p>
        </w:tc>
        <w:tc>
          <w:tcPr>
            <w:tcW w:w="4027" w:type="pct"/>
            <w:vAlign w:val="center"/>
          </w:tcPr>
          <w:p>
            <w:pPr>
              <w:rPr>
                <w:rFonts w:hint="eastAsia" w:eastAsia="宋体"/>
                <w:b w:val="0"/>
                <w:bCs w:val="0"/>
                <w:lang w:val="en-US" w:eastAsia="zh-CN"/>
              </w:rPr>
            </w:pPr>
            <w:r>
              <w:rPr>
                <w:rFonts w:hint="eastAsia"/>
                <w:b/>
                <w:bCs/>
              </w:rPr>
              <w:t>教学内容：</w:t>
            </w:r>
            <w:r>
              <w:rPr>
                <w:rFonts w:hint="eastAsia"/>
                <w:b w:val="0"/>
                <w:bCs w:val="0"/>
                <w:lang w:eastAsia="zh-CN"/>
              </w:rPr>
              <w:t>本课程主要准确陈述管理学中的基本观点、基本理论和基本思维方法，熟悉各项管理工作的重要性并能掌握做好各项管理工作的基本过程和基本原则，培养学生运用管理的基本职能和基本方法诊断组织运营中的管理问题，运用先进的管理思想、办法、组织分析对运营管理、组织管理等问题开展分析和组织实施工作能力等。</w:t>
            </w:r>
          </w:p>
          <w:p>
            <w:r>
              <w:rPr>
                <w:rFonts w:hint="eastAsia"/>
                <w:b/>
                <w:bCs/>
                <w:lang w:eastAsia="zh-CN"/>
              </w:rPr>
              <w:t>教学目标：</w:t>
            </w:r>
            <w:r>
              <w:rPr>
                <w:rFonts w:hint="eastAsia"/>
                <w:lang w:eastAsia="zh-CN"/>
              </w:rPr>
              <w:t>通过对本课程的学习，激发学生学习管理的兴趣，掌握管理的基本知识和方法，并能初步运用管理学的基本思想和方法，分析和解决自身管理问题，分析和解释组织管理问题。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pPr>
              <w:rPr>
                <w:rFonts w:hint="eastAsia" w:eastAsia="宋体"/>
                <w:lang w:eastAsia="zh-CN"/>
              </w:rPr>
            </w:pPr>
            <w:r>
              <w:rPr>
                <w:rFonts w:hint="eastAsia"/>
                <w:lang w:eastAsia="zh-CN"/>
              </w:rPr>
              <w:t>金融学</w:t>
            </w:r>
          </w:p>
        </w:tc>
        <w:tc>
          <w:tcPr>
            <w:tcW w:w="4027" w:type="pct"/>
            <w:vAlign w:val="center"/>
          </w:tcPr>
          <w:p>
            <w:pPr>
              <w:rPr>
                <w:rFonts w:hint="eastAsia"/>
                <w:lang w:val="en-US" w:eastAsia="zh-CN"/>
              </w:rPr>
            </w:pPr>
            <w:r>
              <w:rPr>
                <w:rFonts w:hint="eastAsia"/>
                <w:b/>
                <w:bCs/>
              </w:rPr>
              <w:t>教学内容：</w:t>
            </w:r>
            <w:r>
              <w:rPr>
                <w:rFonts w:hint="eastAsia"/>
                <w:lang w:eastAsia="zh-CN"/>
              </w:rPr>
              <w:t>本课程主要学习货币金融的基本理论、基本知识和基本原理，对货币、信用、金融机构、金融市场、国际金融、金融宏观调控与监管等方面的基本内容有较系统的掌握。</w:t>
            </w:r>
          </w:p>
          <w:p>
            <w:pPr>
              <w:rPr>
                <w:rFonts w:hint="eastAsia"/>
                <w:lang w:eastAsia="zh-CN"/>
              </w:rPr>
            </w:pPr>
            <w:r>
              <w:rPr>
                <w:rFonts w:hint="eastAsia"/>
                <w:b/>
                <w:bCs/>
              </w:rPr>
              <w:t>教学目标：</w:t>
            </w:r>
            <w:r>
              <w:rPr>
                <w:rFonts w:hint="eastAsia"/>
                <w:lang w:eastAsia="zh-CN"/>
              </w:rPr>
              <w:t>通过学习使学生掌握货币金融基本概念和基本理论，了解货币、货币运行和货币调控的基本规律，提高学生分析和解决金融问题的能力，通过掌握金融实际业务知识、具备分析、解释现实经济和金融问题的能力，加强学生的职业能力和职业素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pPr>
              <w:rPr>
                <w:rFonts w:hint="eastAsia" w:eastAsia="宋体"/>
                <w:lang w:eastAsia="zh-CN"/>
              </w:rPr>
            </w:pPr>
            <w:r>
              <w:rPr>
                <w:rFonts w:hint="eastAsia"/>
                <w:lang w:eastAsia="zh-CN"/>
              </w:rPr>
              <w:t>市场营销学</w:t>
            </w:r>
          </w:p>
        </w:tc>
        <w:tc>
          <w:tcPr>
            <w:tcW w:w="4027" w:type="pct"/>
            <w:vAlign w:val="center"/>
          </w:tcPr>
          <w:p>
            <w:pPr>
              <w:pStyle w:val="30"/>
              <w:shd w:val="clear" w:color="auto" w:fill="FCFCFC"/>
              <w:snapToGrid w:val="0"/>
              <w:spacing w:before="0" w:beforeAutospacing="0" w:after="0" w:afterAutospacing="0" w:line="300" w:lineRule="exact"/>
              <w:rPr>
                <w:rFonts w:hint="eastAsia" w:ascii="宋体" w:hAnsi="宋体" w:eastAsia="宋体" w:cs="Times New Roman"/>
                <w:bCs w:val="0"/>
                <w:color w:val="000000"/>
                <w:kern w:val="2"/>
                <w:sz w:val="18"/>
                <w:szCs w:val="28"/>
                <w:lang w:val="en-US" w:eastAsia="zh-CN" w:bidi="ar-SA"/>
              </w:rPr>
            </w:pPr>
            <w:r>
              <w:rPr>
                <w:rFonts w:hint="eastAsia" w:ascii="宋体" w:hAnsi="宋体" w:eastAsia="宋体" w:cs="Times New Roman"/>
                <w:b/>
                <w:bCs/>
                <w:color w:val="000000"/>
                <w:kern w:val="2"/>
                <w:sz w:val="18"/>
                <w:szCs w:val="28"/>
                <w:lang w:val="en-US" w:eastAsia="zh-CN" w:bidi="ar-SA"/>
              </w:rPr>
              <w:t>教学内容：</w:t>
            </w:r>
            <w:r>
              <w:rPr>
                <w:rFonts w:hint="eastAsia" w:cs="Times New Roman"/>
                <w:b w:val="0"/>
                <w:bCs w:val="0"/>
                <w:color w:val="000000"/>
                <w:kern w:val="2"/>
                <w:sz w:val="18"/>
                <w:szCs w:val="28"/>
                <w:lang w:val="en-US" w:eastAsia="zh-CN" w:bidi="ar-SA"/>
              </w:rPr>
              <w:t>本课程学习</w:t>
            </w:r>
            <w:r>
              <w:rPr>
                <w:rFonts w:hint="eastAsia" w:ascii="宋体" w:hAnsi="宋体" w:eastAsia="宋体" w:cs="Times New Roman"/>
                <w:bCs w:val="0"/>
                <w:color w:val="000000"/>
                <w:kern w:val="2"/>
                <w:sz w:val="18"/>
                <w:szCs w:val="28"/>
                <w:lang w:val="en-US" w:eastAsia="zh-CN" w:bidi="ar-SA"/>
              </w:rPr>
              <w:t>营销原理（包括市场分析、营销观念、市场营销信息系统与营销环境、消费者需要与购买行为、市场细分与目标市场选择等理论）；营销实务（由产品策略、定价策略、分销渠道策略、促销策略、市场营销组合策略等组成）；营销管理（包括营销战略、计划、组织和控制等）；特殊市场营销（由网络营销、服务市场营销和国际市场营销等组成）。</w:t>
            </w:r>
          </w:p>
          <w:p>
            <w:r>
              <w:rPr>
                <w:rFonts w:hint="eastAsia" w:ascii="宋体" w:hAnsi="宋体" w:eastAsia="宋体" w:cs="Times New Roman"/>
                <w:b/>
                <w:bCs/>
                <w:color w:val="000000"/>
                <w:kern w:val="2"/>
                <w:sz w:val="18"/>
                <w:szCs w:val="28"/>
                <w:lang w:val="en-US" w:eastAsia="zh-CN" w:bidi="ar-SA"/>
              </w:rPr>
              <w:t>教学目标：</w:t>
            </w:r>
            <w:r>
              <w:rPr>
                <w:rFonts w:hint="eastAsia" w:ascii="宋体" w:hAnsi="宋体" w:eastAsia="宋体" w:cs="Times New Roman"/>
                <w:bCs w:val="0"/>
                <w:color w:val="000000"/>
                <w:kern w:val="2"/>
                <w:sz w:val="18"/>
                <w:szCs w:val="28"/>
                <w:lang w:val="en-US" w:eastAsia="zh-CN" w:bidi="ar-SA"/>
              </w:rPr>
              <w:t>通过学习使学生</w:t>
            </w:r>
            <w:r>
              <w:rPr>
                <w:rFonts w:hint="eastAsia" w:cs="Times New Roman"/>
                <w:bCs w:val="0"/>
                <w:color w:val="000000"/>
                <w:kern w:val="2"/>
                <w:sz w:val="18"/>
                <w:szCs w:val="28"/>
                <w:lang w:val="en-US" w:eastAsia="zh-CN" w:bidi="ar-SA"/>
              </w:rPr>
              <w:t>能够具备市场调研、分析市场、把握商机的能力，撰写条理清晰、结构合理的小型调研报告或市场活动总结的能力，识别、运用营销策略的能力等。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632" w:hRule="atLeast"/>
          <w:jc w:val="center"/>
        </w:trPr>
        <w:tc>
          <w:tcPr>
            <w:tcW w:w="380" w:type="pct"/>
            <w:vMerge w:val="restart"/>
            <w:vAlign w:val="center"/>
          </w:tcPr>
          <w:p>
            <w:r>
              <w:rPr>
                <w:rFonts w:hint="eastAsia"/>
              </w:rPr>
              <w:t>专业核心课</w:t>
            </w:r>
          </w:p>
        </w:tc>
        <w:tc>
          <w:tcPr>
            <w:tcW w:w="592" w:type="pct"/>
            <w:vAlign w:val="center"/>
          </w:tcPr>
          <w:p>
            <w:pPr>
              <w:rPr>
                <w:rFonts w:hint="eastAsia" w:eastAsia="宋体"/>
                <w:lang w:eastAsia="zh-CN"/>
              </w:rPr>
            </w:pPr>
            <w:r>
              <w:rPr>
                <w:rFonts w:hint="eastAsia"/>
                <w:lang w:eastAsia="zh-CN"/>
              </w:rPr>
              <w:t>高级会计实务</w:t>
            </w:r>
          </w:p>
        </w:tc>
        <w:tc>
          <w:tcPr>
            <w:tcW w:w="4027" w:type="pct"/>
            <w:vAlign w:val="center"/>
          </w:tcPr>
          <w:p>
            <w:pPr>
              <w:rPr>
                <w:rFonts w:hint="default"/>
                <w:color w:val="000000"/>
                <w:lang w:val="en-US"/>
              </w:rPr>
            </w:pPr>
            <w:r>
              <w:rPr>
                <w:rFonts w:hint="eastAsia"/>
                <w:b/>
                <w:bCs/>
                <w:color w:val="000000"/>
                <w:lang w:eastAsia="zh-CN"/>
              </w:rPr>
              <w:t>教学内容：</w:t>
            </w:r>
            <w:r>
              <w:rPr>
                <w:rFonts w:hint="eastAsia"/>
                <w:color w:val="000000"/>
                <w:lang w:eastAsia="zh-CN"/>
              </w:rPr>
              <w:t>了解高级财务会计所涉及到的业务范围和要点，熟练进行所得税会计的业务处理、外币业务的折算处理和企业合并的业务处理；具备合并财务报表的编制能力，并能够完成一个企业合并的案例分析报告。</w:t>
            </w:r>
          </w:p>
          <w:p>
            <w:r>
              <w:rPr>
                <w:rFonts w:hint="eastAsia"/>
                <w:b/>
                <w:bCs/>
                <w:color w:val="000000"/>
                <w:lang w:eastAsia="zh-CN"/>
              </w:rPr>
              <w:t>教学目标：</w:t>
            </w:r>
            <w:r>
              <w:rPr>
                <w:rFonts w:hint="eastAsia"/>
                <w:b w:val="0"/>
                <w:bCs w:val="0"/>
                <w:color w:val="000000"/>
                <w:lang w:eastAsia="zh-CN"/>
              </w:rPr>
              <w:t>通过学习使学生获得在特殊经济业务中应用高级财务会计理论与实践方法解决疑难问题的能力。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604" w:hRule="atLeast"/>
          <w:jc w:val="center"/>
        </w:trPr>
        <w:tc>
          <w:tcPr>
            <w:tcW w:w="380" w:type="pct"/>
            <w:vMerge w:val="continue"/>
            <w:vAlign w:val="center"/>
          </w:tcPr>
          <w:p/>
        </w:tc>
        <w:tc>
          <w:tcPr>
            <w:tcW w:w="592" w:type="pct"/>
            <w:vAlign w:val="center"/>
          </w:tcPr>
          <w:p>
            <w:pPr>
              <w:rPr>
                <w:rFonts w:hint="eastAsia" w:eastAsia="宋体"/>
                <w:lang w:eastAsia="zh-CN"/>
              </w:rPr>
            </w:pPr>
            <w:r>
              <w:rPr>
                <w:rFonts w:hint="eastAsia"/>
                <w:lang w:eastAsia="zh-CN"/>
              </w:rPr>
              <w:t>高级财务管理</w:t>
            </w:r>
          </w:p>
        </w:tc>
        <w:tc>
          <w:tcPr>
            <w:tcW w:w="4027" w:type="pct"/>
            <w:vAlign w:val="center"/>
          </w:tcPr>
          <w:p>
            <w:pPr>
              <w:rPr>
                <w:rFonts w:hint="eastAsia" w:eastAsia="宋体"/>
                <w:b w:val="0"/>
                <w:bCs w:val="0"/>
                <w:lang w:eastAsia="zh-CN"/>
              </w:rPr>
            </w:pPr>
            <w:r>
              <w:rPr>
                <w:rFonts w:hint="eastAsia"/>
                <w:b/>
                <w:bCs/>
              </w:rPr>
              <w:t>教学内容：</w:t>
            </w:r>
            <w:r>
              <w:rPr>
                <w:rFonts w:hint="eastAsia"/>
                <w:b w:val="0"/>
                <w:bCs w:val="0"/>
                <w:lang w:eastAsia="zh-CN"/>
              </w:rPr>
              <w:t>本课程是在学习了中级财务管理课程的基础上开设的，是初级、中级财务管理的后续课程。本课程学习内容主要有高级财务管理概论、基于价值的管理、价值创造计量与评估、资本经营内容和方式、财务战略管理、预算控制与财务管理、业绩评价与激励等，对一些重要理论进行重点、深入的学习，做到理论联系实际。</w:t>
            </w:r>
          </w:p>
          <w:p>
            <w:pPr>
              <w:rPr>
                <w:rFonts w:hint="default" w:eastAsia="宋体"/>
                <w:lang w:val="en-US" w:eastAsia="zh-CN"/>
              </w:rPr>
            </w:pPr>
            <w:r>
              <w:rPr>
                <w:rFonts w:hint="eastAsia"/>
                <w:b/>
                <w:bCs/>
              </w:rPr>
              <w:t>教学目标：</w:t>
            </w:r>
            <w:r>
              <w:rPr>
                <w:rFonts w:hint="eastAsia"/>
                <w:lang w:eastAsia="zh-CN"/>
              </w:rPr>
              <w:t>通过学习使学生能比较全面、系统地掌握现代财务管理的基本理论、基本方法，并能应用开实践，解决较为复杂的实际问题。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634" w:hRule="atLeast"/>
          <w:jc w:val="center"/>
        </w:trPr>
        <w:tc>
          <w:tcPr>
            <w:tcW w:w="380" w:type="pct"/>
            <w:vMerge w:val="continue"/>
            <w:vAlign w:val="center"/>
          </w:tcPr>
          <w:p/>
        </w:tc>
        <w:tc>
          <w:tcPr>
            <w:tcW w:w="592" w:type="pct"/>
            <w:vAlign w:val="center"/>
          </w:tcPr>
          <w:p>
            <w:pPr>
              <w:rPr>
                <w:rFonts w:hint="eastAsia" w:eastAsia="宋体"/>
                <w:lang w:eastAsia="zh-CN"/>
              </w:rPr>
            </w:pPr>
            <w:r>
              <w:rPr>
                <w:rFonts w:hint="eastAsia"/>
                <w:lang w:eastAsia="zh-CN"/>
              </w:rPr>
              <w:t>审计学</w:t>
            </w:r>
          </w:p>
        </w:tc>
        <w:tc>
          <w:tcPr>
            <w:tcW w:w="4027" w:type="pct"/>
            <w:vAlign w:val="center"/>
          </w:tcPr>
          <w:p>
            <w:pPr>
              <w:rPr>
                <w:rFonts w:hint="eastAsia"/>
                <w:color w:val="000000"/>
                <w:lang w:eastAsia="zh-CN"/>
              </w:rPr>
            </w:pPr>
            <w:r>
              <w:rPr>
                <w:rFonts w:hint="eastAsia"/>
                <w:b/>
                <w:bCs/>
                <w:color w:val="000000"/>
                <w:lang w:eastAsia="zh-CN"/>
              </w:rPr>
              <w:t>教学内容：</w:t>
            </w:r>
            <w:r>
              <w:rPr>
                <w:rFonts w:hint="eastAsia"/>
                <w:b w:val="0"/>
                <w:bCs w:val="0"/>
                <w:color w:val="000000"/>
                <w:lang w:eastAsia="zh-CN"/>
              </w:rPr>
              <w:t>本课程主要学习审计工作的资格条件和审计技术方法、不同审计主体的审计特点、审计思路、审计流程、审计风险和审计方案的选择，围绕审计质量与效率的均衡问题展开教学的。</w:t>
            </w:r>
          </w:p>
          <w:p>
            <w:pPr>
              <w:rPr>
                <w:rFonts w:hint="eastAsia"/>
                <w:color w:val="000000"/>
                <w:lang w:eastAsia="zh-CN"/>
              </w:rPr>
            </w:pPr>
            <w:r>
              <w:rPr>
                <w:rFonts w:hint="eastAsia"/>
                <w:b/>
                <w:bCs/>
                <w:color w:val="000000"/>
                <w:lang w:eastAsia="zh-CN"/>
              </w:rPr>
              <w:t>教学目标：</w:t>
            </w:r>
            <w:r>
              <w:rPr>
                <w:rFonts w:hint="eastAsia"/>
                <w:b w:val="0"/>
                <w:bCs w:val="0"/>
                <w:color w:val="000000"/>
                <w:lang w:eastAsia="zh-CN"/>
              </w:rPr>
              <w:t>通过学习使学生能够运用审计方法开展具体审计工作，具备胜任审计助理岗位的职业能力，具备解决审计工作问题的能力。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pPr>
              <w:rPr>
                <w:rFonts w:hint="eastAsia"/>
                <w:lang w:eastAsia="zh-CN"/>
              </w:rPr>
            </w:pPr>
            <w:r>
              <w:rPr>
                <w:rFonts w:hint="eastAsia"/>
                <w:lang w:eastAsia="zh-CN"/>
              </w:rPr>
              <w:t>专业英语</w:t>
            </w:r>
          </w:p>
        </w:tc>
        <w:tc>
          <w:tcPr>
            <w:tcW w:w="4027" w:type="pct"/>
            <w:vAlign w:val="center"/>
          </w:tcPr>
          <w:p>
            <w:pPr>
              <w:jc w:val="both"/>
              <w:rPr>
                <w:rFonts w:hint="eastAsia"/>
                <w:b w:val="0"/>
                <w:bCs w:val="0"/>
                <w:color w:val="000000"/>
                <w:lang w:eastAsia="zh-CN"/>
              </w:rPr>
            </w:pPr>
            <w:r>
              <w:rPr>
                <w:rFonts w:hint="eastAsia"/>
                <w:b/>
                <w:bCs/>
                <w:color w:val="000000"/>
                <w:lang w:eastAsia="zh-CN"/>
              </w:rPr>
              <w:t>教学内容：</w:t>
            </w:r>
            <w:r>
              <w:rPr>
                <w:rFonts w:hint="eastAsia"/>
                <w:b w:val="0"/>
                <w:bCs w:val="0"/>
                <w:color w:val="000000"/>
                <w:lang w:eastAsia="zh-CN"/>
              </w:rPr>
              <w:t>学习财务核算与分析过程中所使用的专业术语与特殊英语表达形式。</w:t>
            </w:r>
          </w:p>
          <w:p>
            <w:pPr>
              <w:jc w:val="both"/>
              <w:rPr>
                <w:rFonts w:hint="eastAsia"/>
                <w:b w:val="0"/>
                <w:bCs w:val="0"/>
                <w:color w:val="000000"/>
                <w:lang w:eastAsia="zh-CN"/>
              </w:rPr>
            </w:pPr>
            <w:r>
              <w:rPr>
                <w:rFonts w:hint="eastAsia"/>
                <w:b/>
                <w:bCs/>
                <w:color w:val="000000"/>
                <w:lang w:eastAsia="zh-CN"/>
              </w:rPr>
              <w:t>教学目标：</w:t>
            </w:r>
            <w:r>
              <w:rPr>
                <w:rFonts w:hint="eastAsia"/>
                <w:b w:val="0"/>
                <w:bCs w:val="0"/>
                <w:color w:val="000000"/>
                <w:lang w:eastAsia="zh-CN"/>
              </w:rPr>
              <w:t>通过学习具备较为全面地学习西方财管专业知识的能力，提高阅读英语文献和使用英语处理常规业务的能力。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restart"/>
            <w:vAlign w:val="center"/>
          </w:tcPr>
          <w:p>
            <w:r>
              <w:rPr>
                <w:rFonts w:hint="eastAsia"/>
              </w:rPr>
              <w:t>专业拓展课</w:t>
            </w:r>
          </w:p>
        </w:tc>
        <w:tc>
          <w:tcPr>
            <w:tcW w:w="592" w:type="pct"/>
            <w:vAlign w:val="center"/>
          </w:tcPr>
          <w:p>
            <w:pPr>
              <w:rPr>
                <w:rFonts w:hint="eastAsia" w:eastAsia="宋体"/>
                <w:lang w:val="en-US" w:eastAsia="zh-CN"/>
              </w:rPr>
            </w:pPr>
            <w:r>
              <w:rPr>
                <w:rFonts w:hint="eastAsia"/>
                <w:lang w:eastAsia="zh-CN"/>
              </w:rPr>
              <w:t>管理心理学</w:t>
            </w:r>
          </w:p>
        </w:tc>
        <w:tc>
          <w:tcPr>
            <w:tcW w:w="4027" w:type="pct"/>
            <w:vAlign w:val="center"/>
          </w:tcPr>
          <w:p>
            <w:pPr>
              <w:rPr>
                <w:rFonts w:hint="eastAsia" w:eastAsia="宋体"/>
                <w:lang w:eastAsia="zh-CN"/>
              </w:rPr>
            </w:pPr>
            <w:r>
              <w:rPr>
                <w:rFonts w:hint="eastAsia"/>
                <w:b/>
                <w:bCs/>
              </w:rPr>
              <w:t>教学内容：</w:t>
            </w:r>
            <w:r>
              <w:rPr>
                <w:rFonts w:hint="eastAsia"/>
                <w:lang w:eastAsia="zh-CN"/>
              </w:rPr>
              <w:t>本课程学习管理心理学的一般知识、个体心理与个体激励、群体心理与群体互动、领导心理与组织建设等内容，突出基本原理与基本技术的应用。</w:t>
            </w:r>
          </w:p>
          <w:p>
            <w:pPr>
              <w:rPr>
                <w:rFonts w:hint="eastAsia"/>
                <w:lang w:eastAsia="zh-CN"/>
              </w:rPr>
            </w:pPr>
            <w:r>
              <w:rPr>
                <w:rFonts w:hint="eastAsia"/>
                <w:b/>
                <w:bCs/>
              </w:rPr>
              <w:t>教学目标：</w:t>
            </w:r>
            <w:r>
              <w:rPr>
                <w:rFonts w:hint="eastAsia"/>
                <w:lang w:eastAsia="zh-CN"/>
              </w:rPr>
              <w:t>通过本课程的学习，使学生在理论与实践上掌握管理心理学的研究方法、原则和管理活动中的心理策略，为毕业后实施以人为中心的有效管理打好基础。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pPr>
              <w:rPr>
                <w:rFonts w:hint="eastAsia" w:eastAsia="宋体"/>
                <w:lang w:eastAsia="zh-CN"/>
              </w:rPr>
            </w:pPr>
            <w:r>
              <w:rPr>
                <w:rFonts w:hint="eastAsia"/>
                <w:lang w:eastAsia="zh-CN"/>
              </w:rPr>
              <w:t>投资学</w:t>
            </w:r>
          </w:p>
        </w:tc>
        <w:tc>
          <w:tcPr>
            <w:tcW w:w="4027" w:type="pct"/>
            <w:vAlign w:val="center"/>
          </w:tcPr>
          <w:p>
            <w:pPr>
              <w:pStyle w:val="30"/>
              <w:shd w:val="clear" w:color="auto" w:fill="FCFCFC"/>
              <w:snapToGrid w:val="0"/>
              <w:spacing w:before="0" w:beforeAutospacing="0" w:after="0" w:afterAutospacing="0" w:line="300" w:lineRule="exact"/>
              <w:rPr>
                <w:rFonts w:hint="eastAsia" w:ascii="宋体" w:hAnsi="宋体" w:eastAsia="宋体" w:cs="Times New Roman"/>
                <w:b w:val="0"/>
                <w:bCs w:val="0"/>
                <w:color w:val="000000"/>
                <w:kern w:val="2"/>
                <w:sz w:val="18"/>
                <w:szCs w:val="28"/>
                <w:lang w:val="en-US" w:eastAsia="zh-CN" w:bidi="ar-SA"/>
              </w:rPr>
            </w:pPr>
            <w:r>
              <w:rPr>
                <w:rFonts w:hint="eastAsia" w:ascii="宋体" w:hAnsi="宋体" w:eastAsia="宋体" w:cs="Times New Roman"/>
                <w:b/>
                <w:bCs/>
                <w:color w:val="000000"/>
                <w:kern w:val="2"/>
                <w:sz w:val="18"/>
                <w:szCs w:val="28"/>
                <w:lang w:val="en-US" w:eastAsia="zh-CN" w:bidi="ar-SA"/>
              </w:rPr>
              <w:t>教学内容：</w:t>
            </w:r>
            <w:r>
              <w:rPr>
                <w:rFonts w:hint="eastAsia" w:cs="Times New Roman"/>
                <w:b w:val="0"/>
                <w:bCs w:val="0"/>
                <w:color w:val="000000"/>
                <w:kern w:val="2"/>
                <w:sz w:val="18"/>
                <w:szCs w:val="28"/>
                <w:lang w:val="en-US" w:eastAsia="zh-CN" w:bidi="ar-SA"/>
              </w:rPr>
              <w:t>本课程学习内容有投资品的基本要素，投资的对象、交易的程序和方式，投资工具分析与比较，投资风险与收益计量，直接投资与间接投资的比较与分析，与投资分析、投资决策有关的工具和技巧，资产定价理论与方法，资产组合理论等</w:t>
            </w:r>
          </w:p>
          <w:p>
            <w:pPr>
              <w:rPr>
                <w:rFonts w:hint="eastAsia"/>
              </w:rPr>
            </w:pPr>
            <w:r>
              <w:rPr>
                <w:rFonts w:hint="eastAsia" w:ascii="宋体" w:hAnsi="宋体" w:eastAsia="宋体" w:cs="Times New Roman"/>
                <w:b/>
                <w:bCs/>
                <w:color w:val="000000"/>
                <w:kern w:val="2"/>
                <w:sz w:val="18"/>
                <w:szCs w:val="28"/>
                <w:lang w:val="en-US" w:eastAsia="zh-CN" w:bidi="ar-SA"/>
              </w:rPr>
              <w:t>教学目标：</w:t>
            </w:r>
            <w:r>
              <w:rPr>
                <w:rFonts w:hint="eastAsia" w:cs="Times New Roman"/>
                <w:b w:val="0"/>
                <w:bCs w:val="0"/>
                <w:color w:val="000000"/>
                <w:kern w:val="2"/>
                <w:sz w:val="18"/>
                <w:szCs w:val="28"/>
                <w:lang w:val="en-US" w:eastAsia="zh-CN" w:bidi="ar-SA"/>
              </w:rPr>
              <w:t>通过学习使学生了解和掌握投资学的基本原理和方法，具备运用项目投资分析的方法对项目的可行性进行财务评价及风险评估的能力，培养撰写项目投资可行性研究报告的能力。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pPr>
              <w:rPr>
                <w:rFonts w:hint="eastAsia" w:eastAsia="宋体"/>
                <w:lang w:eastAsia="zh-CN"/>
              </w:rPr>
            </w:pPr>
            <w:r>
              <w:rPr>
                <w:rFonts w:hint="eastAsia"/>
                <w:lang w:eastAsia="zh-CN"/>
              </w:rPr>
              <w:t>财务管理案例分析</w:t>
            </w:r>
          </w:p>
        </w:tc>
        <w:tc>
          <w:tcPr>
            <w:tcW w:w="4027" w:type="pct"/>
            <w:vAlign w:val="center"/>
          </w:tcPr>
          <w:p>
            <w:pPr>
              <w:rPr>
                <w:rFonts w:hint="eastAsia" w:eastAsia="宋体"/>
                <w:b w:val="0"/>
                <w:bCs w:val="0"/>
                <w:lang w:eastAsia="zh-CN"/>
              </w:rPr>
            </w:pPr>
            <w:r>
              <w:rPr>
                <w:rFonts w:hint="eastAsia"/>
                <w:b/>
                <w:bCs/>
              </w:rPr>
              <w:t>教学内容：</w:t>
            </w:r>
            <w:r>
              <w:rPr>
                <w:rFonts w:hint="eastAsia"/>
                <w:b w:val="0"/>
                <w:bCs w:val="0"/>
                <w:lang w:eastAsia="zh-CN"/>
              </w:rPr>
              <w:t>本课程是为加强学生的专业技能训练而开设的一门专业技能课程。财务管理案例是现实财务问题在课堂上的模拟展现。通过建立适当的假设条件，让学生扮演案例中的不同决策角色，发现案例存在的问题、分析问题存在的环境并提出解决问题的相应对策。通过案例讨论使学生掌握财务管理的关键知识点，提高其动手能力。</w:t>
            </w:r>
          </w:p>
          <w:p>
            <w:pPr>
              <w:rPr>
                <w:rFonts w:hint="eastAsia"/>
                <w:b/>
                <w:bCs/>
              </w:rPr>
            </w:pPr>
            <w:r>
              <w:rPr>
                <w:rFonts w:hint="eastAsia"/>
                <w:b/>
                <w:bCs/>
              </w:rPr>
              <w:t>教学目标：</w:t>
            </w:r>
            <w:r>
              <w:rPr>
                <w:rFonts w:hint="eastAsia"/>
                <w:b w:val="0"/>
                <w:bCs w:val="0"/>
                <w:lang w:eastAsia="zh-CN"/>
              </w:rPr>
              <w:t>通过本课程学习要求学生掌握案例分析的基本原理和运作程序，能够运用所学的财务与会计学及其它相关学科的基本理论和技巧方法，通过对案例的阅读、问题的识别和分析、讨论，学会分析问题和解决问题的综合能力，深刻理解企业财务管理的先进理念和实用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658" w:hRule="atLeast"/>
          <w:jc w:val="center"/>
        </w:trPr>
        <w:tc>
          <w:tcPr>
            <w:tcW w:w="380" w:type="pct"/>
            <w:vMerge w:val="continue"/>
            <w:vAlign w:val="center"/>
          </w:tcPr>
          <w:p/>
        </w:tc>
        <w:tc>
          <w:tcPr>
            <w:tcW w:w="592" w:type="pct"/>
            <w:vAlign w:val="center"/>
          </w:tcPr>
          <w:p>
            <w:pPr>
              <w:rPr>
                <w:rFonts w:hint="eastAsia" w:eastAsia="宋体"/>
                <w:lang w:eastAsia="zh-CN"/>
              </w:rPr>
            </w:pPr>
            <w:r>
              <w:rPr>
                <w:rFonts w:hint="eastAsia"/>
                <w:lang w:eastAsia="zh-CN"/>
              </w:rPr>
              <w:t>证券投资分析</w:t>
            </w:r>
          </w:p>
        </w:tc>
        <w:tc>
          <w:tcPr>
            <w:tcW w:w="4027" w:type="pct"/>
            <w:vAlign w:val="center"/>
          </w:tcPr>
          <w:p>
            <w:pPr>
              <w:pStyle w:val="30"/>
              <w:shd w:val="clear" w:color="auto" w:fill="FCFCFC"/>
              <w:snapToGrid w:val="0"/>
              <w:spacing w:before="0" w:beforeAutospacing="0" w:after="0" w:afterAutospacing="0" w:line="300" w:lineRule="exact"/>
              <w:rPr>
                <w:rFonts w:hint="default" w:ascii="宋体" w:hAnsi="宋体" w:eastAsia="宋体" w:cs="Times New Roman"/>
                <w:b w:val="0"/>
                <w:bCs w:val="0"/>
                <w:color w:val="000000"/>
                <w:kern w:val="2"/>
                <w:sz w:val="18"/>
                <w:szCs w:val="28"/>
                <w:lang w:val="en-US" w:eastAsia="zh-CN" w:bidi="ar-SA"/>
              </w:rPr>
            </w:pPr>
            <w:r>
              <w:rPr>
                <w:rFonts w:hint="eastAsia" w:ascii="宋体" w:hAnsi="宋体" w:eastAsia="宋体" w:cs="Times New Roman"/>
                <w:b/>
                <w:bCs/>
                <w:color w:val="000000"/>
                <w:kern w:val="2"/>
                <w:sz w:val="18"/>
                <w:szCs w:val="28"/>
                <w:lang w:val="en-US" w:eastAsia="zh-CN" w:bidi="ar-SA"/>
              </w:rPr>
              <w:t>教学内容：</w:t>
            </w:r>
            <w:r>
              <w:rPr>
                <w:rFonts w:hint="eastAsia" w:cs="Times New Roman"/>
                <w:b w:val="0"/>
                <w:bCs w:val="0"/>
                <w:color w:val="000000"/>
                <w:kern w:val="2"/>
                <w:sz w:val="18"/>
                <w:szCs w:val="28"/>
                <w:lang w:val="en-US" w:eastAsia="zh-CN" w:bidi="ar-SA"/>
              </w:rPr>
              <w:t>本课程是以证券投资理论、模型，定量分析方法与统计模型为中心，着重介绍证券投资理论的方法的开发和应用，在理论和方法的基础上，利用实际数据给出应用与实证分析的例子，因而有一定的理论深度和较高的应用价值。同时介绍传统的价格走势技术分析方法，可用与指导实际操作。</w:t>
            </w:r>
          </w:p>
          <w:p>
            <w:pPr>
              <w:rPr>
                <w:rFonts w:hint="default" w:ascii="宋体" w:hAnsi="宋体" w:eastAsia="宋体" w:cs="Times New Roman"/>
                <w:b/>
                <w:bCs/>
                <w:color w:val="000000"/>
                <w:kern w:val="2"/>
                <w:sz w:val="18"/>
                <w:szCs w:val="28"/>
                <w:lang w:val="en-US" w:eastAsia="zh-CN" w:bidi="ar-SA"/>
              </w:rPr>
            </w:pPr>
            <w:r>
              <w:rPr>
                <w:rFonts w:hint="eastAsia" w:ascii="宋体" w:hAnsi="宋体" w:eastAsia="宋体" w:cs="Times New Roman"/>
                <w:b/>
                <w:bCs/>
                <w:color w:val="000000"/>
                <w:kern w:val="2"/>
                <w:sz w:val="18"/>
                <w:szCs w:val="28"/>
                <w:lang w:val="en-US" w:eastAsia="zh-CN" w:bidi="ar-SA"/>
              </w:rPr>
              <w:t>教学目标：</w:t>
            </w:r>
            <w:r>
              <w:rPr>
                <w:rFonts w:hint="eastAsia" w:cs="Times New Roman"/>
                <w:b w:val="0"/>
                <w:bCs w:val="0"/>
                <w:color w:val="000000"/>
                <w:kern w:val="2"/>
                <w:sz w:val="18"/>
                <w:szCs w:val="28"/>
                <w:lang w:val="en-US" w:eastAsia="zh-CN" w:bidi="ar-SA"/>
              </w:rPr>
              <w:t>通过本课程学习使学生掌握证券投资的基本理论，若干个基本的估价模型，以及宏观分析指标的调控，微观分析的统计模型。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pPr>
              <w:rPr>
                <w:rFonts w:hint="eastAsia"/>
                <w:lang w:eastAsia="zh-CN"/>
              </w:rPr>
            </w:pPr>
            <w:r>
              <w:rPr>
                <w:rFonts w:hint="eastAsia"/>
                <w:lang w:eastAsia="zh-CN"/>
              </w:rPr>
              <w:t>国际金融</w:t>
            </w:r>
          </w:p>
        </w:tc>
        <w:tc>
          <w:tcPr>
            <w:tcW w:w="4027" w:type="pct"/>
            <w:vAlign w:val="center"/>
          </w:tcPr>
          <w:p>
            <w:pPr>
              <w:rPr>
                <w:rFonts w:hint="eastAsia" w:ascii="宋体" w:hAnsi="宋体" w:eastAsia="宋体" w:cs="Times New Roman"/>
                <w:b w:val="0"/>
                <w:bCs w:val="0"/>
                <w:color w:val="000000"/>
                <w:kern w:val="2"/>
                <w:sz w:val="18"/>
                <w:szCs w:val="28"/>
                <w:lang w:val="en-US" w:eastAsia="zh-CN" w:bidi="ar-SA"/>
              </w:rPr>
            </w:pPr>
            <w:r>
              <w:rPr>
                <w:rFonts w:hint="eastAsia" w:ascii="宋体" w:hAnsi="宋体" w:eastAsia="宋体" w:cs="Times New Roman"/>
                <w:b/>
                <w:bCs/>
                <w:color w:val="000000"/>
                <w:kern w:val="2"/>
                <w:sz w:val="18"/>
                <w:szCs w:val="28"/>
                <w:lang w:val="en-US" w:eastAsia="zh-CN" w:bidi="ar-SA"/>
              </w:rPr>
              <w:t>教学内容：</w:t>
            </w:r>
            <w:r>
              <w:rPr>
                <w:rFonts w:hint="eastAsia" w:ascii="宋体" w:hAnsi="宋体" w:eastAsia="宋体" w:cs="Times New Roman"/>
                <w:b w:val="0"/>
                <w:bCs w:val="0"/>
                <w:color w:val="000000"/>
                <w:kern w:val="2"/>
                <w:sz w:val="18"/>
                <w:szCs w:val="28"/>
                <w:lang w:val="en-US" w:eastAsia="zh-CN" w:bidi="ar-SA"/>
              </w:rPr>
              <w:t>本课程系统阐述国际金融的基本理论体系和框架、重点讲解国际金融的基础知识、管理原理及实务操作方法，详细阐述国际收支、外汇、汇率、外汇市场、汇率制度、外汇管制、国际储备、国际金融市场、国际金融风险管理、国际资本流动与国际金融危机、基本概念、基本理论、形成原理、控制措施、时滞效应的基础知识和理论体系。</w:t>
            </w:r>
          </w:p>
          <w:p>
            <w:pPr>
              <w:rPr>
                <w:rFonts w:hint="eastAsia" w:ascii="宋体" w:hAnsi="宋体" w:eastAsia="宋体" w:cs="Times New Roman"/>
                <w:b w:val="0"/>
                <w:bCs w:val="0"/>
                <w:color w:val="000000"/>
                <w:kern w:val="2"/>
                <w:sz w:val="18"/>
                <w:szCs w:val="28"/>
                <w:lang w:val="en-US" w:eastAsia="zh-CN" w:bidi="ar-SA"/>
              </w:rPr>
            </w:pPr>
            <w:r>
              <w:rPr>
                <w:rFonts w:hint="eastAsia" w:ascii="宋体" w:hAnsi="宋体" w:eastAsia="宋体" w:cs="Times New Roman"/>
                <w:b/>
                <w:bCs/>
                <w:color w:val="000000"/>
                <w:kern w:val="2"/>
                <w:sz w:val="18"/>
                <w:szCs w:val="28"/>
                <w:lang w:val="en-US" w:eastAsia="zh-CN" w:bidi="ar-SA"/>
              </w:rPr>
              <w:t>教学目标：</w:t>
            </w:r>
            <w:r>
              <w:rPr>
                <w:rFonts w:hint="eastAsia" w:ascii="宋体" w:hAnsi="宋体" w:eastAsia="宋体" w:cs="Times New Roman"/>
                <w:b w:val="0"/>
                <w:bCs w:val="0"/>
                <w:color w:val="000000"/>
                <w:kern w:val="2"/>
                <w:sz w:val="18"/>
                <w:szCs w:val="28"/>
                <w:lang w:val="en-US" w:eastAsia="zh-CN" w:bidi="ar-SA"/>
              </w:rPr>
              <w:t>通过学习促进学</w:t>
            </w:r>
            <w:r>
              <w:rPr>
                <w:rFonts w:hint="eastAsia" w:cs="Times New Roman"/>
                <w:b w:val="0"/>
                <w:bCs w:val="0"/>
                <w:color w:val="000000"/>
                <w:kern w:val="2"/>
                <w:sz w:val="18"/>
                <w:szCs w:val="28"/>
                <w:lang w:val="en-US" w:eastAsia="zh-CN" w:bidi="ar-SA"/>
              </w:rPr>
              <w:t>生</w:t>
            </w:r>
            <w:r>
              <w:rPr>
                <w:rFonts w:hint="eastAsia" w:ascii="宋体" w:hAnsi="宋体" w:eastAsia="宋体" w:cs="Times New Roman"/>
                <w:b w:val="0"/>
                <w:bCs w:val="0"/>
                <w:color w:val="000000"/>
                <w:kern w:val="2"/>
                <w:sz w:val="18"/>
                <w:szCs w:val="28"/>
                <w:lang w:val="en-US" w:eastAsia="zh-CN" w:bidi="ar-SA"/>
              </w:rPr>
              <w:t>理解和重点掌握</w:t>
            </w:r>
            <w:r>
              <w:rPr>
                <w:rFonts w:hint="eastAsia" w:cs="Times New Roman"/>
                <w:b w:val="0"/>
                <w:bCs w:val="0"/>
                <w:color w:val="000000"/>
                <w:kern w:val="2"/>
                <w:sz w:val="18"/>
                <w:szCs w:val="28"/>
                <w:lang w:val="en-US" w:eastAsia="zh-CN" w:bidi="ar-SA"/>
              </w:rPr>
              <w:t>国际金融</w:t>
            </w:r>
            <w:r>
              <w:rPr>
                <w:rFonts w:hint="eastAsia" w:ascii="宋体" w:hAnsi="宋体" w:eastAsia="宋体" w:cs="Times New Roman"/>
                <w:b w:val="0"/>
                <w:bCs w:val="0"/>
                <w:color w:val="000000"/>
                <w:kern w:val="2"/>
                <w:sz w:val="18"/>
                <w:szCs w:val="28"/>
                <w:lang w:val="en-US" w:eastAsia="zh-CN" w:bidi="ar-SA"/>
              </w:rPr>
              <w:t>基本理论、</w:t>
            </w:r>
            <w:r>
              <w:rPr>
                <w:rFonts w:hint="eastAsia" w:cs="Times New Roman"/>
                <w:b w:val="0"/>
                <w:bCs w:val="0"/>
                <w:color w:val="000000"/>
                <w:kern w:val="2"/>
                <w:sz w:val="18"/>
                <w:szCs w:val="28"/>
                <w:lang w:val="en-US" w:eastAsia="zh-CN" w:bidi="ar-SA"/>
              </w:rPr>
              <w:t>基本业务和基本知识，</w:t>
            </w:r>
            <w:r>
              <w:rPr>
                <w:rFonts w:hint="eastAsia" w:ascii="宋体" w:hAnsi="宋体" w:eastAsia="宋体" w:cs="Times New Roman"/>
                <w:b w:val="0"/>
                <w:bCs w:val="0"/>
                <w:color w:val="000000"/>
                <w:kern w:val="2"/>
                <w:sz w:val="18"/>
                <w:szCs w:val="28"/>
                <w:lang w:val="en-US" w:eastAsia="zh-CN" w:bidi="ar-SA"/>
              </w:rPr>
              <w:t>培养学</w:t>
            </w:r>
            <w:r>
              <w:rPr>
                <w:rFonts w:hint="eastAsia" w:cs="Times New Roman"/>
                <w:b w:val="0"/>
                <w:bCs w:val="0"/>
                <w:color w:val="000000"/>
                <w:kern w:val="2"/>
                <w:sz w:val="18"/>
                <w:szCs w:val="28"/>
                <w:lang w:val="en-US" w:eastAsia="zh-CN" w:bidi="ar-SA"/>
              </w:rPr>
              <w:t>生</w:t>
            </w:r>
            <w:r>
              <w:rPr>
                <w:rFonts w:hint="eastAsia" w:ascii="宋体" w:hAnsi="宋体" w:eastAsia="宋体" w:cs="Times New Roman"/>
                <w:b w:val="0"/>
                <w:bCs w:val="0"/>
                <w:color w:val="000000"/>
                <w:kern w:val="2"/>
                <w:sz w:val="18"/>
                <w:szCs w:val="28"/>
                <w:lang w:val="en-US" w:eastAsia="zh-CN" w:bidi="ar-SA"/>
              </w:rPr>
              <w:t>掌握观察和分析国内、国际发生的有关国际收支失衡、汇率变化、国际资本流动动向、国际金融危机等重大国际金融问题的正确方法，培养学</w:t>
            </w:r>
            <w:r>
              <w:rPr>
                <w:rFonts w:hint="eastAsia" w:cs="Times New Roman"/>
                <w:b w:val="0"/>
                <w:bCs w:val="0"/>
                <w:color w:val="000000"/>
                <w:kern w:val="2"/>
                <w:sz w:val="18"/>
                <w:szCs w:val="28"/>
                <w:lang w:val="en-US" w:eastAsia="zh-CN" w:bidi="ar-SA"/>
              </w:rPr>
              <w:t>生</w:t>
            </w:r>
            <w:r>
              <w:rPr>
                <w:rFonts w:hint="eastAsia" w:ascii="宋体" w:hAnsi="宋体" w:eastAsia="宋体" w:cs="Times New Roman"/>
                <w:b w:val="0"/>
                <w:bCs w:val="0"/>
                <w:color w:val="000000"/>
                <w:kern w:val="2"/>
                <w:sz w:val="18"/>
                <w:szCs w:val="28"/>
                <w:lang w:val="en-US" w:eastAsia="zh-CN" w:bidi="ar-SA"/>
              </w:rPr>
              <w:t>综合应用国际金融理论解决国际金融实际问题的能力</w:t>
            </w:r>
            <w:r>
              <w:rPr>
                <w:rFonts w:hint="eastAsia" w:cs="Times New Roman"/>
                <w:b w:val="0"/>
                <w:bCs w:val="0"/>
                <w:color w:val="000000"/>
                <w:kern w:val="2"/>
                <w:sz w:val="18"/>
                <w:szCs w:val="28"/>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274" w:hRule="atLeast"/>
          <w:jc w:val="center"/>
        </w:trPr>
        <w:tc>
          <w:tcPr>
            <w:tcW w:w="380" w:type="pct"/>
            <w:vAlign w:val="center"/>
          </w:tcPr>
          <w:p/>
        </w:tc>
        <w:tc>
          <w:tcPr>
            <w:tcW w:w="592" w:type="pct"/>
            <w:vAlign w:val="center"/>
          </w:tcPr>
          <w:p>
            <w:pPr>
              <w:rPr>
                <w:rFonts w:hint="eastAsia"/>
                <w:lang w:eastAsia="zh-CN"/>
              </w:rPr>
            </w:pPr>
            <w:r>
              <w:rPr>
                <w:rFonts w:hint="eastAsia"/>
                <w:lang w:eastAsia="zh-CN"/>
              </w:rPr>
              <w:t>税务筹划</w:t>
            </w:r>
          </w:p>
        </w:tc>
        <w:tc>
          <w:tcPr>
            <w:tcW w:w="4027" w:type="pct"/>
            <w:vAlign w:val="center"/>
          </w:tcPr>
          <w:p>
            <w:pPr>
              <w:rPr>
                <w:rFonts w:hint="eastAsia" w:cs="Times New Roman"/>
                <w:b w:val="0"/>
                <w:bCs w:val="0"/>
                <w:color w:val="000000"/>
                <w:kern w:val="2"/>
                <w:sz w:val="18"/>
                <w:szCs w:val="28"/>
                <w:lang w:val="en-US" w:eastAsia="zh-CN" w:bidi="ar-SA"/>
              </w:rPr>
            </w:pPr>
            <w:r>
              <w:rPr>
                <w:rFonts w:hint="eastAsia" w:ascii="宋体" w:hAnsi="宋体" w:eastAsia="宋体" w:cs="Times New Roman"/>
                <w:b/>
                <w:bCs/>
                <w:color w:val="000000"/>
                <w:kern w:val="2"/>
                <w:sz w:val="18"/>
                <w:szCs w:val="28"/>
                <w:lang w:val="en-US" w:eastAsia="zh-CN" w:bidi="ar-SA"/>
              </w:rPr>
              <w:t>教学内容：</w:t>
            </w:r>
            <w:r>
              <w:rPr>
                <w:rFonts w:hint="eastAsia" w:cs="Times New Roman"/>
                <w:b w:val="0"/>
                <w:bCs w:val="0"/>
                <w:color w:val="000000"/>
                <w:kern w:val="2"/>
                <w:sz w:val="18"/>
                <w:szCs w:val="28"/>
                <w:lang w:val="en-US" w:eastAsia="zh-CN" w:bidi="ar-SA"/>
              </w:rPr>
              <w:t>本课程主要学习的内容有税收筹划的概念、特点、原则等基本原理和基本理论，着重介绍企业在投资决策、生产经营、成本核算以及其它方面的税收筹划的基本方法。</w:t>
            </w:r>
          </w:p>
          <w:p>
            <w:pPr>
              <w:rPr>
                <w:rFonts w:hint="eastAsia"/>
              </w:rPr>
            </w:pPr>
            <w:r>
              <w:rPr>
                <w:rFonts w:hint="eastAsia" w:ascii="宋体" w:hAnsi="宋体" w:eastAsia="宋体" w:cs="Times New Roman"/>
                <w:b/>
                <w:bCs/>
                <w:color w:val="000000"/>
                <w:kern w:val="2"/>
                <w:sz w:val="18"/>
                <w:szCs w:val="28"/>
                <w:lang w:val="en-US" w:eastAsia="zh-CN" w:bidi="ar-SA"/>
              </w:rPr>
              <w:t>教学目标：</w:t>
            </w:r>
            <w:r>
              <w:rPr>
                <w:rFonts w:hint="eastAsia" w:cs="Times New Roman"/>
                <w:b w:val="0"/>
                <w:bCs w:val="0"/>
                <w:color w:val="000000"/>
                <w:kern w:val="2"/>
                <w:sz w:val="18"/>
                <w:szCs w:val="28"/>
                <w:lang w:val="en-US" w:eastAsia="zh-CN" w:bidi="ar-SA"/>
              </w:rPr>
              <w:t>通过本课程的学习，学生应了解税收筹划的基本内容和常用方法，重点掌握增值税、消费税、企业所得税的税收筹划，能够对实践中存在的问题进行思考并提出解决方法。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restart"/>
            <w:vAlign w:val="center"/>
          </w:tcPr>
          <w:p>
            <w:r>
              <w:rPr>
                <w:rFonts w:hint="eastAsia"/>
              </w:rPr>
              <w:t>专项实践模块</w:t>
            </w:r>
          </w:p>
        </w:tc>
        <w:tc>
          <w:tcPr>
            <w:tcW w:w="592" w:type="pct"/>
            <w:vAlign w:val="center"/>
          </w:tcPr>
          <w:p>
            <w:pPr>
              <w:jc w:val="center"/>
              <w:rPr>
                <w:rFonts w:ascii="宋体" w:hAnsi="宋体" w:eastAsia="宋体" w:cs="Times New Roman"/>
                <w:kern w:val="2"/>
                <w:sz w:val="18"/>
                <w:szCs w:val="28"/>
                <w:lang w:val="en-US" w:eastAsia="zh-CN" w:bidi="ar-SA"/>
              </w:rPr>
            </w:pPr>
            <w:r>
              <w:rPr>
                <w:rFonts w:hint="eastAsia"/>
              </w:rPr>
              <w:t>形势与政策</w:t>
            </w:r>
          </w:p>
        </w:tc>
        <w:tc>
          <w:tcPr>
            <w:tcW w:w="4027" w:type="pct"/>
            <w:vAlign w:val="center"/>
          </w:tcPr>
          <w:p>
            <w:pPr>
              <w:pStyle w:val="10"/>
              <w:shd w:val="clear" w:color="auto" w:fill="FFFFFF"/>
              <w:rPr>
                <w:rFonts w:hint="eastAsia" w:cs="Times New Roman"/>
                <w:color w:val="000000"/>
                <w:kern w:val="2"/>
                <w:sz w:val="18"/>
                <w:szCs w:val="28"/>
                <w:shd w:val="clear" w:color="auto" w:fill="FFFFFF"/>
              </w:rPr>
            </w:pPr>
            <w:r>
              <w:rPr>
                <w:rFonts w:hint="eastAsia" w:cs="Times New Roman"/>
                <w:b/>
                <w:kern w:val="2"/>
                <w:sz w:val="18"/>
                <w:szCs w:val="28"/>
              </w:rPr>
              <w:t>教学内容：</w:t>
            </w:r>
            <w:r>
              <w:rPr>
                <w:rFonts w:hint="eastAsia" w:cs="Times New Roman"/>
                <w:color w:val="000000"/>
                <w:kern w:val="2"/>
                <w:sz w:val="18"/>
                <w:szCs w:val="28"/>
                <w:shd w:val="clear" w:color="auto" w:fill="FFFFFF"/>
              </w:rPr>
              <w:t>根据教育部社科司公布的《高校“形势与政策”教育教学要点》，围绕党的理论方针、政策以及结合社会实际情况和学生关注的热点、焦点问题确定教学内容。</w:t>
            </w:r>
          </w:p>
          <w:p>
            <w:pPr>
              <w:pStyle w:val="10"/>
              <w:shd w:val="clear" w:color="auto" w:fill="FFFFFF"/>
              <w:rPr>
                <w:rFonts w:hint="eastAsia" w:ascii="Arial Unicode MS" w:hAnsi="Arial Unicode MS" w:eastAsia="宋体" w:cs="Times New Roman"/>
                <w:color w:val="000000"/>
                <w:kern w:val="2"/>
                <w:sz w:val="18"/>
                <w:szCs w:val="28"/>
                <w:shd w:val="clear" w:color="auto" w:fill="FFFFFF"/>
                <w:lang w:val="en-US" w:eastAsia="zh-CN" w:bidi="ar-SA"/>
              </w:rPr>
            </w:pPr>
            <w:r>
              <w:rPr>
                <w:rFonts w:hint="eastAsia" w:cs="Times New Roman"/>
                <w:b/>
                <w:kern w:val="2"/>
                <w:sz w:val="18"/>
                <w:szCs w:val="28"/>
              </w:rPr>
              <w:t>教学目标：</w:t>
            </w:r>
            <w:r>
              <w:rPr>
                <w:rFonts w:hint="eastAsia" w:cs="Times New Roman"/>
                <w:color w:val="000000"/>
                <w:kern w:val="2"/>
                <w:sz w:val="18"/>
                <w:szCs w:val="28"/>
                <w:shd w:val="clear" w:color="auto" w:fill="FFFFFF"/>
              </w:rPr>
              <w:t>引导和帮助学生掌握形势与政策问题的基本理论和基础知识，学会正确的形势与政策分析方法；让学生感知国情民意，体会党的路线方针政策的实践，坚定在中国共产党领导下走中国特色社会主义道路的信心和决心；培养学生正确分析形势和理解政策的能力，特别是对国内外重大事件、敏感问题、社会热点、难点、疑点问题的思考、分析和判断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pPr>
              <w:rPr>
                <w:rFonts w:hint="eastAsia"/>
              </w:rPr>
            </w:pPr>
          </w:p>
        </w:tc>
        <w:tc>
          <w:tcPr>
            <w:tcW w:w="592" w:type="pct"/>
            <w:vAlign w:val="center"/>
          </w:tcPr>
          <w:p>
            <w:pPr>
              <w:adjustRightInd w:val="0"/>
              <w:snapToGrid w:val="0"/>
              <w:rPr>
                <w:rFonts w:hint="eastAsia" w:ascii="宋体" w:hAnsi="宋体" w:eastAsia="宋体" w:cs="Times New Roman"/>
                <w:kern w:val="2"/>
                <w:sz w:val="18"/>
                <w:szCs w:val="28"/>
                <w:lang w:val="en-US" w:eastAsia="zh-CN" w:bidi="ar-SA"/>
              </w:rPr>
            </w:pPr>
            <w:r>
              <w:rPr>
                <w:rFonts w:hint="eastAsia"/>
                <w:sz w:val="15"/>
                <w:szCs w:val="15"/>
                <w:lang w:val="en-US" w:eastAsia="zh-CN"/>
              </w:rPr>
              <w:t>EXCEL在财务管理中运用</w:t>
            </w:r>
          </w:p>
        </w:tc>
        <w:tc>
          <w:tcPr>
            <w:tcW w:w="4027" w:type="pct"/>
            <w:vAlign w:val="center"/>
          </w:tcPr>
          <w:p>
            <w:pPr>
              <w:rPr>
                <w:rFonts w:hint="default"/>
                <w:lang w:val="en-US" w:eastAsia="zh-CN"/>
              </w:rPr>
            </w:pPr>
            <w:r>
              <w:rPr>
                <w:rFonts w:hint="eastAsia"/>
                <w:b/>
                <w:bCs/>
              </w:rPr>
              <w:t>教学内容：</w:t>
            </w:r>
            <w:r>
              <w:rPr>
                <w:rFonts w:hint="eastAsia"/>
                <w:lang w:eastAsia="zh-CN"/>
              </w:rPr>
              <w:t>《</w:t>
            </w:r>
            <w:r>
              <w:rPr>
                <w:rFonts w:hint="eastAsia"/>
                <w:lang w:val="en-US" w:eastAsia="zh-CN"/>
              </w:rPr>
              <w:t>EXCEL在财务管理中的应用</w:t>
            </w:r>
            <w:r>
              <w:rPr>
                <w:rFonts w:hint="eastAsia"/>
                <w:lang w:eastAsia="zh-CN"/>
              </w:rPr>
              <w:t>》课程主要以</w:t>
            </w:r>
            <w:r>
              <w:rPr>
                <w:rFonts w:hint="eastAsia"/>
                <w:lang w:val="en-US" w:eastAsia="zh-CN"/>
              </w:rPr>
              <w:t>EXCEL在现代企业财务管理中的应用技能为宗旨，以EXCEL基本技能为主线，以筹资决策、投资决策、营运管理和利润管理为主要内容，较为全面、系统的阐述了EXCEL在现代企业财务管理应用中的基本方法和技能。</w:t>
            </w:r>
          </w:p>
          <w:p>
            <w:pPr>
              <w:rPr>
                <w:rFonts w:hint="eastAsia" w:ascii="宋体" w:hAnsi="宋体" w:eastAsia="宋体" w:cs="Times New Roman"/>
                <w:kern w:val="2"/>
                <w:sz w:val="18"/>
                <w:szCs w:val="28"/>
                <w:lang w:val="en-US" w:eastAsia="zh-CN" w:bidi="ar-SA"/>
              </w:rPr>
            </w:pPr>
            <w:r>
              <w:rPr>
                <w:rFonts w:hint="eastAsia"/>
                <w:b/>
                <w:bCs/>
              </w:rPr>
              <w:t>教学目标：</w:t>
            </w:r>
            <w:r>
              <w:rPr>
                <w:rFonts w:hint="eastAsia"/>
                <w:lang w:eastAsia="zh-CN"/>
              </w:rPr>
              <w:t>通过本课程学习，使学生在掌握财务管理理论框架的基础上，能够熟悉财务管理活动的各项职能，并能运用</w:t>
            </w:r>
            <w:r>
              <w:rPr>
                <w:rFonts w:hint="eastAsia"/>
                <w:lang w:val="en-US" w:eastAsia="zh-CN"/>
              </w:rPr>
              <w:t>EXCEL等计算机软件解决财务中的实际问题，同时提高学生的创新精神和实践能力。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380" w:hRule="atLeast"/>
          <w:jc w:val="center"/>
        </w:trPr>
        <w:tc>
          <w:tcPr>
            <w:tcW w:w="380" w:type="pct"/>
            <w:vMerge w:val="continue"/>
            <w:vAlign w:val="center"/>
          </w:tcPr>
          <w:p>
            <w:pPr>
              <w:rPr>
                <w:rFonts w:hint="eastAsia"/>
              </w:rPr>
            </w:pPr>
          </w:p>
        </w:tc>
        <w:tc>
          <w:tcPr>
            <w:tcW w:w="592" w:type="pct"/>
            <w:vAlign w:val="center"/>
          </w:tcPr>
          <w:p>
            <w:pPr>
              <w:adjustRightInd w:val="0"/>
              <w:snapToGrid w:val="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财务业务一体化</w:t>
            </w:r>
          </w:p>
        </w:tc>
        <w:tc>
          <w:tcPr>
            <w:tcW w:w="4027" w:type="pct"/>
            <w:vAlign w:val="center"/>
          </w:tcPr>
          <w:p>
            <w:pPr>
              <w:rPr>
                <w:rFonts w:hint="eastAsia"/>
                <w:color w:val="000000" w:themeColor="text1"/>
                <w:lang w:eastAsia="zh-CN"/>
                <w14:textFill>
                  <w14:solidFill>
                    <w14:schemeClr w14:val="tx1"/>
                  </w14:solidFill>
                </w14:textFill>
              </w:rPr>
            </w:pPr>
            <w:r>
              <w:rPr>
                <w:rFonts w:hint="eastAsia"/>
                <w:b/>
                <w:bCs/>
                <w:color w:val="000000" w:themeColor="text1"/>
                <w14:textFill>
                  <w14:solidFill>
                    <w14:schemeClr w14:val="tx1"/>
                  </w14:solidFill>
                </w14:textFill>
              </w:rPr>
              <w:t>教学内容：</w:t>
            </w:r>
            <w:r>
              <w:rPr>
                <w:rFonts w:hint="eastAsia"/>
                <w:color w:val="000000" w:themeColor="text1"/>
                <w14:textFill>
                  <w14:solidFill>
                    <w14:schemeClr w14:val="tx1"/>
                  </w14:solidFill>
                </w14:textFill>
              </w:rPr>
              <w:t>从专业能力要求入手，重点学习购、销、存系统的操作。主要包括采购管理、库存管理与核算、销售管理等三个子系统。会运用采购管理、销售管理、库存管理、存货核算等完成业务处理进行会计核算</w:t>
            </w:r>
          </w:p>
          <w:p>
            <w:pPr>
              <w:rPr>
                <w:rFonts w:hint="eastAsia"/>
                <w:color w:val="000000" w:themeColor="text1"/>
                <w14:textFill>
                  <w14:solidFill>
                    <w14:schemeClr w14:val="tx1"/>
                  </w14:solidFill>
                </w14:textFill>
              </w:rPr>
            </w:pPr>
            <w:r>
              <w:rPr>
                <w:rFonts w:hint="eastAsia"/>
                <w:b/>
                <w:bCs/>
                <w:color w:val="000000" w:themeColor="text1"/>
                <w14:textFill>
                  <w14:solidFill>
                    <w14:schemeClr w14:val="tx1"/>
                  </w14:solidFill>
                </w14:textFill>
              </w:rPr>
              <w:t>教学目标：</w:t>
            </w:r>
            <w:r>
              <w:rPr>
                <w:rFonts w:hint="eastAsia"/>
                <w:color w:val="000000" w:themeColor="text1"/>
                <w14:textFill>
                  <w14:solidFill>
                    <w14:schemeClr w14:val="tx1"/>
                  </w14:solidFill>
                </w14:textFill>
              </w:rPr>
              <w:t>理解财务业务一体化的基本概念、基本原理，了解业务各环节与财务工作的联系，掌握财务业务一体化应用软件的操作方法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718" w:hRule="atLeast"/>
          <w:jc w:val="center"/>
        </w:trPr>
        <w:tc>
          <w:tcPr>
            <w:tcW w:w="380" w:type="pct"/>
            <w:vMerge w:val="continue"/>
            <w:vAlign w:val="center"/>
          </w:tcPr>
          <w:p>
            <w:pPr>
              <w:rPr>
                <w:rFonts w:hint="eastAsia"/>
              </w:rPr>
            </w:pPr>
          </w:p>
        </w:tc>
        <w:tc>
          <w:tcPr>
            <w:tcW w:w="592" w:type="pct"/>
            <w:vAlign w:val="center"/>
          </w:tcPr>
          <w:p>
            <w:pPr>
              <w:adjustRightInd w:val="0"/>
              <w:snapToGrid w:val="0"/>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数字化管理会计（中级）</w:t>
            </w:r>
          </w:p>
        </w:tc>
        <w:tc>
          <w:tcPr>
            <w:tcW w:w="4027" w:type="pct"/>
            <w:vAlign w:val="center"/>
          </w:tcPr>
          <w:p>
            <w:pPr>
              <w:rPr>
                <w:rFonts w:hint="default" w:eastAsia="宋体"/>
                <w:color w:val="000000" w:themeColor="text1"/>
                <w:lang w:val="en-US" w:eastAsia="zh-CN"/>
                <w14:textFill>
                  <w14:solidFill>
                    <w14:schemeClr w14:val="tx1"/>
                  </w14:solidFill>
                </w14:textFill>
              </w:rPr>
            </w:pPr>
            <w:r>
              <w:rPr>
                <w:rFonts w:hint="eastAsia"/>
                <w:b/>
                <w:bCs/>
                <w:color w:val="000000" w:themeColor="text1"/>
                <w14:textFill>
                  <w14:solidFill>
                    <w14:schemeClr w14:val="tx1"/>
                  </w14:solidFill>
                </w14:textFill>
              </w:rPr>
              <w:t>教学内容：</w:t>
            </w:r>
            <w:r>
              <w:rPr>
                <w:rFonts w:hint="eastAsia"/>
                <w:b w:val="0"/>
                <w:bCs w:val="0"/>
                <w:color w:val="000000" w:themeColor="text1"/>
                <w:lang w:eastAsia="zh-CN"/>
                <w14:textFill>
                  <w14:solidFill>
                    <w14:schemeClr w14:val="tx1"/>
                  </w14:solidFill>
                </w14:textFill>
              </w:rPr>
              <w:t>本课程是数字化管理会计</w:t>
            </w:r>
            <w:r>
              <w:rPr>
                <w:rFonts w:hint="eastAsia"/>
                <w:b w:val="0"/>
                <w:bCs w:val="0"/>
                <w:color w:val="000000" w:themeColor="text1"/>
                <w:lang w:val="en-US" w:eastAsia="zh-CN"/>
                <w14:textFill>
                  <w14:solidFill>
                    <w14:schemeClr w14:val="tx1"/>
                  </w14:solidFill>
                </w14:textFill>
              </w:rPr>
              <w:t>1+X证书中级的培训课程，采用案例引导的方式来分析典型工作任务中的业务逻辑和管控要点，内容侧重于预算管理、投融资管理、营运管理和成本管理等方面</w:t>
            </w:r>
          </w:p>
          <w:p>
            <w:pPr>
              <w:rPr>
                <w:rFonts w:hint="eastAsia" w:eastAsia="宋体"/>
                <w:color w:val="000000" w:themeColor="text1"/>
                <w:lang w:eastAsia="zh-CN"/>
                <w14:textFill>
                  <w14:solidFill>
                    <w14:schemeClr w14:val="tx1"/>
                  </w14:solidFill>
                </w14:textFill>
              </w:rPr>
            </w:pPr>
            <w:r>
              <w:rPr>
                <w:rFonts w:hint="eastAsia"/>
                <w:b/>
                <w:bCs/>
                <w:color w:val="000000" w:themeColor="text1"/>
                <w14:textFill>
                  <w14:solidFill>
                    <w14:schemeClr w14:val="tx1"/>
                  </w14:solidFill>
                </w14:textFill>
              </w:rPr>
              <w:t>教学目标：</w:t>
            </w:r>
            <w:r>
              <w:rPr>
                <w:rFonts w:hint="eastAsia"/>
                <w:b w:val="0"/>
                <w:bCs w:val="0"/>
                <w:color w:val="000000" w:themeColor="text1"/>
                <w:lang w:eastAsia="zh-CN"/>
                <w14:textFill>
                  <w14:solidFill>
                    <w14:schemeClr w14:val="tx1"/>
                  </w14:solidFill>
                </w14:textFill>
              </w:rPr>
              <w:t>通过案例分析典型任务，融案例、理论与实训于一体，培养</w:t>
            </w:r>
            <w:r>
              <w:rPr>
                <w:rFonts w:hint="eastAsia"/>
                <w:b w:val="0"/>
                <w:bCs w:val="0"/>
                <w:color w:val="000000" w:themeColor="text1"/>
                <w:lang w:val="en-US" w:eastAsia="zh-CN"/>
                <w14:textFill>
                  <w14:solidFill>
                    <w14:schemeClr w14:val="tx1"/>
                  </w14:solidFill>
                </w14:textFill>
              </w:rPr>
              <w:t>预算管理、投融资管理、营运管理和成本管理等管理能力。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pPr>
              <w:rPr>
                <w:rStyle w:val="29"/>
              </w:rPr>
            </w:pPr>
          </w:p>
        </w:tc>
        <w:tc>
          <w:tcPr>
            <w:tcW w:w="592" w:type="pct"/>
            <w:vAlign w:val="center"/>
          </w:tcPr>
          <w:p>
            <w:r>
              <w:rPr>
                <w:rFonts w:hint="eastAsia"/>
              </w:rPr>
              <w:t>企业实习</w:t>
            </w:r>
          </w:p>
        </w:tc>
        <w:tc>
          <w:tcPr>
            <w:tcW w:w="4027" w:type="pct"/>
            <w:vAlign w:val="center"/>
          </w:tcPr>
          <w:p>
            <w:pPr>
              <w:rPr>
                <w:rFonts w:hint="eastAsia" w:eastAsia="宋体"/>
                <w:b w:val="0"/>
                <w:bCs w:val="0"/>
                <w:lang w:val="en-US" w:eastAsia="zh-CN"/>
              </w:rPr>
            </w:pPr>
            <w:r>
              <w:rPr>
                <w:rFonts w:hint="eastAsia"/>
                <w:b/>
                <w:bCs/>
              </w:rPr>
              <w:t>教学内容：</w:t>
            </w:r>
            <w:r>
              <w:rPr>
                <w:rFonts w:hint="eastAsia"/>
                <w:b w:val="0"/>
                <w:bCs w:val="0"/>
                <w:lang w:eastAsia="zh-CN"/>
              </w:rPr>
              <w:t>企业实习的基本内容有企业的资金运动过程和业务流程等方面的特点，会计核算的过程和内容，企业财务管理组织形式、原则和各项资金管理方法，企业财务分析的主要内容、方法，企业单位现代财务管理方法的应用等。</w:t>
            </w:r>
          </w:p>
          <w:p>
            <w:pPr>
              <w:rPr>
                <w:rFonts w:hint="eastAsia"/>
              </w:rPr>
            </w:pPr>
            <w:r>
              <w:rPr>
                <w:rFonts w:hint="eastAsia"/>
                <w:b/>
                <w:bCs/>
              </w:rPr>
              <w:t>教学目标：</w:t>
            </w:r>
            <w:r>
              <w:rPr>
                <w:rFonts w:hint="eastAsia"/>
                <w:b w:val="0"/>
                <w:bCs w:val="0"/>
                <w:lang w:eastAsia="zh-CN"/>
              </w:rPr>
              <w:t>通过企业实习，让学生更好地理解财务管理性质、特点，明确财务管理工作在经济活动中的重要地位，使学生巩固课堂上所学的专业知识，理论联系实际，了解财务管理工作的具体操作程序和方法，掌握正确处理财务管理业务的能力和技巧，使学生增强分析问题、解决问题的能力，尽快适应毕业后财务管理工作的需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36" w:type="dxa"/>
            <w:left w:w="36" w:type="dxa"/>
            <w:bottom w:w="36" w:type="dxa"/>
            <w:right w:w="36" w:type="dxa"/>
          </w:tblCellMar>
        </w:tblPrEx>
        <w:trPr>
          <w:trHeight w:val="1020" w:hRule="atLeast"/>
          <w:jc w:val="center"/>
        </w:trPr>
        <w:tc>
          <w:tcPr>
            <w:tcW w:w="380" w:type="pct"/>
            <w:vMerge w:val="continue"/>
            <w:vAlign w:val="center"/>
          </w:tcPr>
          <w:p/>
        </w:tc>
        <w:tc>
          <w:tcPr>
            <w:tcW w:w="592" w:type="pct"/>
            <w:vAlign w:val="center"/>
          </w:tcPr>
          <w:p>
            <w:r>
              <w:rPr>
                <w:rFonts w:hint="eastAsia"/>
              </w:rPr>
              <w:t>毕业设计</w:t>
            </w:r>
          </w:p>
        </w:tc>
        <w:tc>
          <w:tcPr>
            <w:tcW w:w="4027" w:type="pct"/>
            <w:vAlign w:val="center"/>
          </w:tcPr>
          <w:p>
            <w:pPr>
              <w:rPr>
                <w:rFonts w:hint="eastAsia" w:eastAsia="宋体"/>
                <w:lang w:eastAsia="zh-CN"/>
              </w:rPr>
            </w:pPr>
            <w:r>
              <w:rPr>
                <w:rFonts w:hint="eastAsia"/>
                <w:b/>
                <w:bCs/>
              </w:rPr>
              <w:t>教学内容：</w:t>
            </w:r>
            <w:r>
              <w:rPr>
                <w:rFonts w:hint="eastAsia"/>
                <w:lang w:eastAsia="zh-CN"/>
              </w:rPr>
              <w:t>毕业设计主要教学内容包括选题、开题、中期检查、评阅、答辩、完成毕业设计及有关材料的整理归档。</w:t>
            </w:r>
          </w:p>
          <w:p>
            <w:pPr>
              <w:rPr>
                <w:rFonts w:hint="eastAsia" w:eastAsia="宋体"/>
                <w:lang w:eastAsia="zh-CN"/>
              </w:rPr>
            </w:pPr>
            <w:r>
              <w:rPr>
                <w:rFonts w:hint="eastAsia"/>
                <w:b/>
                <w:bCs/>
              </w:rPr>
              <w:t>教学目标：</w:t>
            </w:r>
            <w:r>
              <w:rPr>
                <w:rFonts w:hint="eastAsia"/>
                <w:lang w:eastAsia="zh-CN"/>
              </w:rPr>
              <w:t>通过毕业设计，巩固和扩大学生在校期间所学的基础知识与专业知识，培养学生树立正确的设计思想，能够撰写符合要求的毕业设计，强化自主学习和终身学习的意识，了解拓展知识和能力的途径，以适应社会发展。。</w:t>
            </w:r>
          </w:p>
          <w:p>
            <w:pPr>
              <w:rPr>
                <w:rFonts w:hint="eastAsia"/>
              </w:rPr>
            </w:pPr>
          </w:p>
        </w:tc>
      </w:tr>
      <w:bookmarkEnd w:id="0"/>
    </w:tbl>
    <w:p>
      <w:pPr>
        <w:widowControl/>
        <w:jc w:val="left"/>
        <w:rPr>
          <w:b/>
          <w:kern w:val="44"/>
          <w:sz w:val="28"/>
        </w:rPr>
      </w:pPr>
      <w:r>
        <w:rPr>
          <w:sz w:val="28"/>
        </w:rPr>
        <w:br w:type="page"/>
      </w:r>
    </w:p>
    <w:p>
      <w:pPr>
        <w:pStyle w:val="2"/>
        <w:spacing w:before="0" w:after="0" w:line="240" w:lineRule="auto"/>
        <w:rPr>
          <w:sz w:val="28"/>
          <w:szCs w:val="28"/>
        </w:rPr>
      </w:pPr>
      <w:r>
        <w:rPr>
          <w:rFonts w:hint="eastAsia"/>
          <w:sz w:val="28"/>
          <w:szCs w:val="28"/>
        </w:rPr>
        <w:t>七、教学进程安排</w:t>
      </w:r>
    </w:p>
    <w:p>
      <w:pPr>
        <w:spacing w:line="440" w:lineRule="exact"/>
        <w:ind w:firstLine="562" w:firstLineChars="200"/>
        <w:rPr>
          <w:b/>
          <w:bCs/>
          <w:sz w:val="28"/>
        </w:rPr>
      </w:pPr>
      <w:r>
        <w:rPr>
          <w:rFonts w:hint="eastAsia"/>
          <w:b/>
          <w:bCs/>
          <w:sz w:val="28"/>
        </w:rPr>
        <w:t>（一）教学时间分配表</w:t>
      </w:r>
    </w:p>
    <w:p>
      <w:pPr>
        <w:tabs>
          <w:tab w:val="center" w:pos="4524"/>
        </w:tabs>
        <w:jc w:val="center"/>
        <w:rPr>
          <w:b/>
          <w:bCs/>
          <w:sz w:val="24"/>
        </w:rPr>
      </w:pPr>
      <w:r>
        <w:rPr>
          <w:rFonts w:hint="eastAsia"/>
          <w:b/>
          <w:bCs/>
          <w:sz w:val="24"/>
        </w:rPr>
        <w:t>表</w:t>
      </w:r>
      <w:r>
        <w:rPr>
          <w:b/>
          <w:bCs/>
          <w:sz w:val="24"/>
        </w:rPr>
        <w:t>6</w:t>
      </w:r>
      <w:r>
        <w:rPr>
          <w:rFonts w:hint="eastAsia"/>
          <w:b/>
          <w:bCs/>
          <w:sz w:val="24"/>
        </w:rPr>
        <w:t xml:space="preserve">  教学时间分配表</w:t>
      </w:r>
    </w:p>
    <w:tbl>
      <w:tblPr>
        <w:tblStyle w:val="12"/>
        <w:tblW w:w="5000" w:type="pct"/>
        <w:tblInd w:w="0" w:type="dxa"/>
        <w:tblLayout w:type="autofit"/>
        <w:tblCellMar>
          <w:top w:w="0" w:type="dxa"/>
          <w:left w:w="108" w:type="dxa"/>
          <w:bottom w:w="0" w:type="dxa"/>
          <w:right w:w="108" w:type="dxa"/>
        </w:tblCellMar>
      </w:tblPr>
      <w:tblGrid>
        <w:gridCol w:w="692"/>
        <w:gridCol w:w="696"/>
        <w:gridCol w:w="914"/>
        <w:gridCol w:w="1135"/>
        <w:gridCol w:w="1135"/>
        <w:gridCol w:w="1135"/>
        <w:gridCol w:w="1135"/>
        <w:gridCol w:w="697"/>
        <w:gridCol w:w="1368"/>
      </w:tblGrid>
      <w:tr>
        <w:trPr>
          <w:trHeight w:val="567" w:hRule="atLeast"/>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学年</w:t>
            </w:r>
          </w:p>
        </w:tc>
        <w:tc>
          <w:tcPr>
            <w:tcW w:w="39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学期</w:t>
            </w:r>
          </w:p>
        </w:tc>
        <w:tc>
          <w:tcPr>
            <w:tcW w:w="51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总周数</w:t>
            </w:r>
          </w:p>
        </w:tc>
        <w:tc>
          <w:tcPr>
            <w:tcW w:w="63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教学周数</w:t>
            </w:r>
          </w:p>
        </w:tc>
        <w:tc>
          <w:tcPr>
            <w:tcW w:w="63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企业实习</w:t>
            </w:r>
          </w:p>
        </w:tc>
        <w:tc>
          <w:tcPr>
            <w:tcW w:w="63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毕业设计</w:t>
            </w:r>
          </w:p>
        </w:tc>
        <w:tc>
          <w:tcPr>
            <w:tcW w:w="63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考试周数</w:t>
            </w:r>
          </w:p>
        </w:tc>
        <w:tc>
          <w:tcPr>
            <w:tcW w:w="391" w:type="pct"/>
            <w:tcBorders>
              <w:top w:val="single" w:color="auto" w:sz="4" w:space="0"/>
              <w:left w:val="nil"/>
              <w:bottom w:val="single" w:color="auto" w:sz="4" w:space="0"/>
              <w:right w:val="single" w:color="auto" w:sz="4" w:space="0"/>
            </w:tcBorders>
            <w:shd w:val="clear" w:color="000000" w:fill="FFFF00"/>
            <w:vAlign w:val="center"/>
          </w:tcPr>
          <w:p>
            <w:pPr>
              <w:widowControl/>
              <w:jc w:val="center"/>
              <w:rPr>
                <w:rFonts w:cs="宋体"/>
                <w:kern w:val="0"/>
                <w:szCs w:val="18"/>
              </w:rPr>
            </w:pPr>
            <w:r>
              <w:rPr>
                <w:rFonts w:hint="eastAsia" w:cs="宋体"/>
                <w:kern w:val="0"/>
                <w:szCs w:val="18"/>
              </w:rPr>
              <w:t>学时</w:t>
            </w:r>
          </w:p>
        </w:tc>
        <w:tc>
          <w:tcPr>
            <w:tcW w:w="766" w:type="pct"/>
            <w:tcBorders>
              <w:top w:val="single" w:color="auto" w:sz="4" w:space="0"/>
              <w:left w:val="nil"/>
              <w:bottom w:val="single" w:color="auto" w:sz="4" w:space="0"/>
              <w:right w:val="single" w:color="auto" w:sz="4" w:space="0"/>
            </w:tcBorders>
            <w:shd w:val="clear" w:color="000000" w:fill="FFFF00"/>
            <w:vAlign w:val="center"/>
          </w:tcPr>
          <w:p>
            <w:pPr>
              <w:widowControl/>
              <w:jc w:val="center"/>
              <w:rPr>
                <w:rFonts w:cs="宋体"/>
                <w:kern w:val="0"/>
                <w:szCs w:val="18"/>
              </w:rPr>
            </w:pPr>
            <w:r>
              <w:rPr>
                <w:rFonts w:hint="eastAsia" w:cs="宋体"/>
                <w:kern w:val="0"/>
                <w:szCs w:val="18"/>
              </w:rPr>
              <w:t>平均周学时</w:t>
            </w:r>
          </w:p>
        </w:tc>
      </w:tr>
      <w:tr>
        <w:tblPrEx>
          <w:tblCellMar>
            <w:top w:w="0" w:type="dxa"/>
            <w:left w:w="108" w:type="dxa"/>
            <w:bottom w:w="0" w:type="dxa"/>
            <w:right w:w="108" w:type="dxa"/>
          </w:tblCellMar>
        </w:tblPrEx>
        <w:trPr>
          <w:trHeight w:val="567" w:hRule="atLeast"/>
        </w:trPr>
        <w:tc>
          <w:tcPr>
            <w:tcW w:w="3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一</w:t>
            </w:r>
          </w:p>
        </w:tc>
        <w:tc>
          <w:tcPr>
            <w:tcW w:w="390" w:type="pct"/>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1</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 xml:space="preserve">20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hint="eastAsia" w:eastAsia="宋体" w:cs="宋体"/>
                <w:color w:val="FF0000"/>
                <w:kern w:val="0"/>
                <w:szCs w:val="18"/>
                <w:lang w:val="en-US" w:eastAsia="zh-CN"/>
              </w:rPr>
            </w:pPr>
            <w:r>
              <w:rPr>
                <w:rFonts w:hint="eastAsia" w:cs="宋体"/>
                <w:color w:val="FF0000"/>
                <w:kern w:val="0"/>
                <w:szCs w:val="18"/>
              </w:rPr>
              <w:t>1</w:t>
            </w:r>
            <w:r>
              <w:rPr>
                <w:rFonts w:hint="eastAsia" w:cs="宋体"/>
                <w:color w:val="FF0000"/>
                <w:kern w:val="0"/>
                <w:szCs w:val="18"/>
                <w:lang w:val="en-US" w:eastAsia="zh-CN"/>
              </w:rPr>
              <w:t>3</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2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0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2 </w:t>
            </w:r>
          </w:p>
        </w:tc>
        <w:tc>
          <w:tcPr>
            <w:tcW w:w="391" w:type="pct"/>
            <w:tcBorders>
              <w:top w:val="nil"/>
              <w:left w:val="nil"/>
              <w:bottom w:val="single" w:color="auto" w:sz="4" w:space="0"/>
              <w:right w:val="single" w:color="auto" w:sz="4" w:space="0"/>
            </w:tcBorders>
            <w:shd w:val="clear" w:color="000000" w:fill="FFFF00"/>
            <w:vAlign w:val="center"/>
          </w:tcPr>
          <w:p>
            <w:pPr>
              <w:widowControl/>
              <w:jc w:val="center"/>
              <w:rPr>
                <w:rFonts w:hint="default" w:eastAsia="宋体" w:cs="宋体"/>
                <w:kern w:val="0"/>
                <w:szCs w:val="18"/>
                <w:lang w:val="en-US" w:eastAsia="zh-CN"/>
              </w:rPr>
            </w:pPr>
            <w:r>
              <w:rPr>
                <w:rFonts w:hint="eastAsia" w:cs="宋体"/>
                <w:kern w:val="0"/>
                <w:szCs w:val="18"/>
                <w:lang w:val="en-US" w:eastAsia="zh-CN"/>
              </w:rPr>
              <w:t>320</w:t>
            </w:r>
          </w:p>
        </w:tc>
        <w:tc>
          <w:tcPr>
            <w:tcW w:w="766" w:type="pct"/>
            <w:tcBorders>
              <w:top w:val="nil"/>
              <w:left w:val="nil"/>
              <w:bottom w:val="single" w:color="auto" w:sz="4" w:space="0"/>
              <w:right w:val="single" w:color="auto" w:sz="4" w:space="0"/>
            </w:tcBorders>
            <w:shd w:val="clear" w:color="000000" w:fill="FFFF00"/>
            <w:vAlign w:val="center"/>
          </w:tcPr>
          <w:p>
            <w:pPr>
              <w:widowControl/>
              <w:jc w:val="center"/>
              <w:rPr>
                <w:rFonts w:hint="eastAsia" w:eastAsia="宋体" w:cs="宋体"/>
                <w:kern w:val="0"/>
                <w:szCs w:val="18"/>
                <w:lang w:val="en-US" w:eastAsia="zh-CN"/>
              </w:rPr>
            </w:pPr>
            <w:r>
              <w:rPr>
                <w:rFonts w:hint="eastAsia" w:cs="宋体"/>
                <w:kern w:val="0"/>
                <w:szCs w:val="18"/>
              </w:rPr>
              <w:t>2</w:t>
            </w:r>
            <w:r>
              <w:rPr>
                <w:rFonts w:hint="eastAsia" w:cs="宋体"/>
                <w:kern w:val="0"/>
                <w:szCs w:val="18"/>
                <w:lang w:val="en-US" w:eastAsia="zh-CN"/>
              </w:rPr>
              <w:t>4</w:t>
            </w:r>
          </w:p>
        </w:tc>
      </w:tr>
      <w:tr>
        <w:tblPrEx>
          <w:tblCellMar>
            <w:top w:w="0" w:type="dxa"/>
            <w:left w:w="108" w:type="dxa"/>
            <w:bottom w:w="0" w:type="dxa"/>
            <w:right w:w="108" w:type="dxa"/>
          </w:tblCellMar>
        </w:tblPrEx>
        <w:trPr>
          <w:trHeight w:val="567" w:hRule="atLeast"/>
        </w:trPr>
        <w:tc>
          <w:tcPr>
            <w:tcW w:w="389" w:type="pct"/>
            <w:vMerge w:val="continue"/>
            <w:tcBorders>
              <w:top w:val="nil"/>
              <w:left w:val="single" w:color="auto" w:sz="4" w:space="0"/>
              <w:bottom w:val="single" w:color="auto" w:sz="4" w:space="0"/>
              <w:right w:val="single" w:color="auto" w:sz="4" w:space="0"/>
            </w:tcBorders>
            <w:vAlign w:val="center"/>
          </w:tcPr>
          <w:p>
            <w:pPr>
              <w:widowControl/>
              <w:jc w:val="left"/>
              <w:rPr>
                <w:rFonts w:cs="宋体"/>
                <w:color w:val="000000"/>
                <w:kern w:val="0"/>
                <w:szCs w:val="18"/>
              </w:rPr>
            </w:pPr>
          </w:p>
        </w:tc>
        <w:tc>
          <w:tcPr>
            <w:tcW w:w="390" w:type="pct"/>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2</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 xml:space="preserve">20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16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2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0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2 </w:t>
            </w:r>
          </w:p>
        </w:tc>
        <w:tc>
          <w:tcPr>
            <w:tcW w:w="391" w:type="pct"/>
            <w:tcBorders>
              <w:top w:val="nil"/>
              <w:left w:val="nil"/>
              <w:bottom w:val="single" w:color="auto" w:sz="4" w:space="0"/>
              <w:right w:val="single" w:color="auto" w:sz="4" w:space="0"/>
            </w:tcBorders>
            <w:shd w:val="clear" w:color="000000" w:fill="FFFF00"/>
            <w:vAlign w:val="center"/>
          </w:tcPr>
          <w:p>
            <w:pPr>
              <w:widowControl/>
              <w:jc w:val="center"/>
              <w:rPr>
                <w:rFonts w:hint="default" w:eastAsia="宋体" w:cs="宋体"/>
                <w:kern w:val="0"/>
                <w:szCs w:val="18"/>
                <w:lang w:val="en-US" w:eastAsia="zh-CN"/>
              </w:rPr>
            </w:pPr>
            <w:r>
              <w:rPr>
                <w:rFonts w:hint="eastAsia" w:cs="宋体"/>
                <w:kern w:val="0"/>
                <w:szCs w:val="18"/>
                <w:lang w:val="en-US" w:eastAsia="zh-CN"/>
              </w:rPr>
              <w:t>360</w:t>
            </w:r>
          </w:p>
        </w:tc>
        <w:tc>
          <w:tcPr>
            <w:tcW w:w="766" w:type="pct"/>
            <w:tcBorders>
              <w:top w:val="nil"/>
              <w:left w:val="nil"/>
              <w:bottom w:val="single" w:color="auto" w:sz="4" w:space="0"/>
              <w:right w:val="single" w:color="auto" w:sz="4" w:space="0"/>
            </w:tcBorders>
            <w:shd w:val="clear" w:color="000000" w:fill="FFFF00"/>
            <w:vAlign w:val="center"/>
          </w:tcPr>
          <w:p>
            <w:pPr>
              <w:widowControl/>
              <w:jc w:val="center"/>
              <w:rPr>
                <w:rFonts w:hint="default" w:eastAsia="宋体" w:cs="宋体"/>
                <w:kern w:val="0"/>
                <w:szCs w:val="18"/>
                <w:lang w:val="en-US" w:eastAsia="zh-CN"/>
              </w:rPr>
            </w:pPr>
            <w:r>
              <w:rPr>
                <w:rFonts w:hint="eastAsia" w:cs="宋体"/>
                <w:kern w:val="0"/>
                <w:szCs w:val="18"/>
                <w:lang w:val="en-US" w:eastAsia="zh-CN"/>
              </w:rPr>
              <w:t>23</w:t>
            </w:r>
          </w:p>
        </w:tc>
      </w:tr>
      <w:tr>
        <w:tblPrEx>
          <w:tblCellMar>
            <w:top w:w="0" w:type="dxa"/>
            <w:left w:w="108" w:type="dxa"/>
            <w:bottom w:w="0" w:type="dxa"/>
            <w:right w:w="108" w:type="dxa"/>
          </w:tblCellMar>
        </w:tblPrEx>
        <w:trPr>
          <w:trHeight w:val="567" w:hRule="atLeast"/>
        </w:trPr>
        <w:tc>
          <w:tcPr>
            <w:tcW w:w="38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二</w:t>
            </w:r>
          </w:p>
        </w:tc>
        <w:tc>
          <w:tcPr>
            <w:tcW w:w="390" w:type="pct"/>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3</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 xml:space="preserve">20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10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8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0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2 </w:t>
            </w:r>
          </w:p>
        </w:tc>
        <w:tc>
          <w:tcPr>
            <w:tcW w:w="391" w:type="pct"/>
            <w:tcBorders>
              <w:top w:val="nil"/>
              <w:left w:val="nil"/>
              <w:bottom w:val="single" w:color="auto" w:sz="4" w:space="0"/>
              <w:right w:val="single" w:color="auto" w:sz="4" w:space="0"/>
            </w:tcBorders>
            <w:shd w:val="clear" w:color="000000" w:fill="FFFF00"/>
            <w:vAlign w:val="center"/>
          </w:tcPr>
          <w:p>
            <w:pPr>
              <w:widowControl/>
              <w:jc w:val="center"/>
              <w:rPr>
                <w:rFonts w:hint="default" w:eastAsia="宋体" w:cs="宋体"/>
                <w:kern w:val="0"/>
                <w:szCs w:val="18"/>
                <w:lang w:val="en-US" w:eastAsia="zh-CN"/>
              </w:rPr>
            </w:pPr>
            <w:r>
              <w:rPr>
                <w:rFonts w:hint="eastAsia" w:cs="宋体"/>
                <w:kern w:val="0"/>
                <w:szCs w:val="18"/>
                <w:lang w:val="en-US" w:eastAsia="zh-CN"/>
              </w:rPr>
              <w:t>216</w:t>
            </w:r>
          </w:p>
        </w:tc>
        <w:tc>
          <w:tcPr>
            <w:tcW w:w="766" w:type="pct"/>
            <w:tcBorders>
              <w:top w:val="nil"/>
              <w:left w:val="nil"/>
              <w:bottom w:val="single" w:color="auto" w:sz="4" w:space="0"/>
              <w:right w:val="single" w:color="auto" w:sz="4" w:space="0"/>
            </w:tcBorders>
            <w:shd w:val="clear" w:color="000000" w:fill="FFFF00"/>
            <w:vAlign w:val="center"/>
          </w:tcPr>
          <w:p>
            <w:pPr>
              <w:widowControl/>
              <w:jc w:val="center"/>
              <w:rPr>
                <w:rFonts w:hint="default" w:eastAsia="宋体" w:cs="宋体"/>
                <w:kern w:val="0"/>
                <w:szCs w:val="18"/>
                <w:lang w:val="en-US" w:eastAsia="zh-CN"/>
              </w:rPr>
            </w:pPr>
            <w:r>
              <w:rPr>
                <w:rFonts w:hint="eastAsia" w:cs="宋体"/>
                <w:kern w:val="0"/>
                <w:szCs w:val="18"/>
                <w:lang w:val="en-US" w:eastAsia="zh-CN"/>
              </w:rPr>
              <w:t>22</w:t>
            </w:r>
          </w:p>
        </w:tc>
      </w:tr>
      <w:tr>
        <w:tblPrEx>
          <w:tblCellMar>
            <w:top w:w="0" w:type="dxa"/>
            <w:left w:w="108" w:type="dxa"/>
            <w:bottom w:w="0" w:type="dxa"/>
            <w:right w:w="108" w:type="dxa"/>
          </w:tblCellMar>
        </w:tblPrEx>
        <w:trPr>
          <w:trHeight w:val="567" w:hRule="atLeast"/>
        </w:trPr>
        <w:tc>
          <w:tcPr>
            <w:tcW w:w="389" w:type="pct"/>
            <w:vMerge w:val="continue"/>
            <w:tcBorders>
              <w:top w:val="nil"/>
              <w:left w:val="single" w:color="auto" w:sz="4" w:space="0"/>
              <w:bottom w:val="single" w:color="auto" w:sz="4" w:space="0"/>
              <w:right w:val="single" w:color="auto" w:sz="4" w:space="0"/>
            </w:tcBorders>
            <w:vAlign w:val="center"/>
          </w:tcPr>
          <w:p>
            <w:pPr>
              <w:widowControl/>
              <w:jc w:val="left"/>
              <w:rPr>
                <w:rFonts w:cs="宋体"/>
                <w:color w:val="000000"/>
                <w:kern w:val="0"/>
                <w:szCs w:val="18"/>
              </w:rPr>
            </w:pPr>
          </w:p>
        </w:tc>
        <w:tc>
          <w:tcPr>
            <w:tcW w:w="390" w:type="pct"/>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4</w:t>
            </w:r>
          </w:p>
        </w:tc>
        <w:tc>
          <w:tcPr>
            <w:tcW w:w="513" w:type="pct"/>
            <w:tcBorders>
              <w:top w:val="nil"/>
              <w:left w:val="nil"/>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 xml:space="preserve">20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3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0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16 </w:t>
            </w:r>
          </w:p>
        </w:tc>
        <w:tc>
          <w:tcPr>
            <w:tcW w:w="637" w:type="pct"/>
            <w:tcBorders>
              <w:top w:val="nil"/>
              <w:left w:val="nil"/>
              <w:bottom w:val="single" w:color="auto" w:sz="4" w:space="0"/>
              <w:right w:val="single" w:color="auto" w:sz="4" w:space="0"/>
            </w:tcBorders>
            <w:shd w:val="clear" w:color="auto" w:fill="auto"/>
            <w:vAlign w:val="center"/>
          </w:tcPr>
          <w:p>
            <w:pPr>
              <w:widowControl/>
              <w:jc w:val="center"/>
              <w:rPr>
                <w:rFonts w:cs="宋体"/>
                <w:color w:val="FF0000"/>
                <w:kern w:val="0"/>
                <w:szCs w:val="18"/>
              </w:rPr>
            </w:pPr>
            <w:r>
              <w:rPr>
                <w:rFonts w:hint="eastAsia" w:cs="宋体"/>
                <w:color w:val="FF0000"/>
                <w:kern w:val="0"/>
                <w:szCs w:val="18"/>
              </w:rPr>
              <w:t xml:space="preserve">1 </w:t>
            </w:r>
          </w:p>
        </w:tc>
        <w:tc>
          <w:tcPr>
            <w:tcW w:w="391" w:type="pct"/>
            <w:tcBorders>
              <w:top w:val="nil"/>
              <w:left w:val="nil"/>
              <w:bottom w:val="single" w:color="auto" w:sz="4" w:space="0"/>
              <w:right w:val="single" w:color="auto" w:sz="4" w:space="0"/>
            </w:tcBorders>
            <w:shd w:val="clear" w:color="000000" w:fill="FFFF00"/>
            <w:vAlign w:val="center"/>
          </w:tcPr>
          <w:p>
            <w:pPr>
              <w:widowControl/>
              <w:jc w:val="center"/>
              <w:rPr>
                <w:rFonts w:cs="宋体"/>
                <w:kern w:val="0"/>
                <w:szCs w:val="18"/>
              </w:rPr>
            </w:pPr>
            <w:r>
              <w:rPr>
                <w:rFonts w:hint="eastAsia" w:cs="宋体"/>
                <w:kern w:val="0"/>
                <w:szCs w:val="18"/>
              </w:rPr>
              <w:t xml:space="preserve">64 </w:t>
            </w:r>
          </w:p>
        </w:tc>
        <w:tc>
          <w:tcPr>
            <w:tcW w:w="766" w:type="pct"/>
            <w:tcBorders>
              <w:top w:val="nil"/>
              <w:left w:val="nil"/>
              <w:bottom w:val="single" w:color="auto" w:sz="4" w:space="0"/>
              <w:right w:val="single" w:color="auto" w:sz="4" w:space="0"/>
            </w:tcBorders>
            <w:shd w:val="clear" w:color="000000" w:fill="FFFF00"/>
            <w:vAlign w:val="center"/>
          </w:tcPr>
          <w:p>
            <w:pPr>
              <w:widowControl/>
              <w:jc w:val="center"/>
              <w:rPr>
                <w:rFonts w:cs="宋体"/>
                <w:kern w:val="0"/>
                <w:szCs w:val="18"/>
              </w:rPr>
            </w:pPr>
            <w:r>
              <w:rPr>
                <w:rFonts w:hint="eastAsia" w:cs="宋体"/>
                <w:kern w:val="0"/>
                <w:szCs w:val="18"/>
              </w:rPr>
              <w:t xml:space="preserve">21 </w:t>
            </w:r>
          </w:p>
        </w:tc>
      </w:tr>
      <w:tr>
        <w:tblPrEx>
          <w:tblCellMar>
            <w:top w:w="0" w:type="dxa"/>
            <w:left w:w="108" w:type="dxa"/>
            <w:bottom w:w="0" w:type="dxa"/>
            <w:right w:w="108" w:type="dxa"/>
          </w:tblCellMar>
        </w:tblPrEx>
        <w:trPr>
          <w:trHeight w:val="567" w:hRule="atLeast"/>
        </w:trPr>
        <w:tc>
          <w:tcPr>
            <w:tcW w:w="78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color w:val="000000"/>
                <w:kern w:val="0"/>
                <w:szCs w:val="18"/>
              </w:rPr>
            </w:pPr>
            <w:r>
              <w:rPr>
                <w:rFonts w:hint="eastAsia" w:cs="宋体"/>
                <w:color w:val="000000"/>
                <w:kern w:val="0"/>
                <w:szCs w:val="18"/>
              </w:rPr>
              <w:t>合计</w:t>
            </w:r>
          </w:p>
        </w:tc>
        <w:tc>
          <w:tcPr>
            <w:tcW w:w="513" w:type="pct"/>
            <w:tcBorders>
              <w:top w:val="nil"/>
              <w:left w:val="nil"/>
              <w:bottom w:val="single" w:color="auto" w:sz="4" w:space="0"/>
              <w:right w:val="single" w:color="auto" w:sz="4" w:space="0"/>
            </w:tcBorders>
            <w:shd w:val="clear" w:color="000000" w:fill="FFFF00"/>
            <w:vAlign w:val="center"/>
          </w:tcPr>
          <w:p>
            <w:pPr>
              <w:widowControl/>
              <w:jc w:val="center"/>
              <w:rPr>
                <w:rFonts w:cs="宋体"/>
                <w:kern w:val="0"/>
                <w:szCs w:val="18"/>
              </w:rPr>
            </w:pPr>
            <w:r>
              <w:rPr>
                <w:rFonts w:hint="eastAsia" w:cs="宋体"/>
                <w:kern w:val="0"/>
                <w:szCs w:val="18"/>
              </w:rPr>
              <w:t xml:space="preserve">80 </w:t>
            </w:r>
          </w:p>
        </w:tc>
        <w:tc>
          <w:tcPr>
            <w:tcW w:w="637" w:type="pct"/>
            <w:tcBorders>
              <w:top w:val="nil"/>
              <w:left w:val="nil"/>
              <w:bottom w:val="single" w:color="auto" w:sz="4" w:space="0"/>
              <w:right w:val="single" w:color="auto" w:sz="4" w:space="0"/>
            </w:tcBorders>
            <w:shd w:val="clear" w:color="000000" w:fill="FFFF00"/>
            <w:vAlign w:val="center"/>
          </w:tcPr>
          <w:p>
            <w:pPr>
              <w:widowControl/>
              <w:jc w:val="center"/>
              <w:rPr>
                <w:rFonts w:hint="eastAsia" w:eastAsia="宋体" w:cs="宋体"/>
                <w:kern w:val="0"/>
                <w:szCs w:val="18"/>
                <w:lang w:val="en-US" w:eastAsia="zh-CN"/>
              </w:rPr>
            </w:pPr>
            <w:r>
              <w:rPr>
                <w:rFonts w:hint="eastAsia" w:cs="宋体"/>
                <w:kern w:val="0"/>
                <w:szCs w:val="18"/>
              </w:rPr>
              <w:t>4</w:t>
            </w:r>
            <w:r>
              <w:rPr>
                <w:rFonts w:hint="eastAsia" w:cs="宋体"/>
                <w:kern w:val="0"/>
                <w:szCs w:val="18"/>
                <w:lang w:val="en-US" w:eastAsia="zh-CN"/>
              </w:rPr>
              <w:t>2</w:t>
            </w:r>
          </w:p>
        </w:tc>
        <w:tc>
          <w:tcPr>
            <w:tcW w:w="637" w:type="pct"/>
            <w:tcBorders>
              <w:top w:val="nil"/>
              <w:left w:val="nil"/>
              <w:bottom w:val="single" w:color="auto" w:sz="4" w:space="0"/>
              <w:right w:val="single" w:color="auto" w:sz="4" w:space="0"/>
            </w:tcBorders>
            <w:shd w:val="clear" w:color="000000" w:fill="FFFF00"/>
            <w:vAlign w:val="center"/>
          </w:tcPr>
          <w:p>
            <w:pPr>
              <w:widowControl/>
              <w:jc w:val="center"/>
              <w:rPr>
                <w:rFonts w:cs="宋体"/>
                <w:kern w:val="0"/>
                <w:szCs w:val="18"/>
              </w:rPr>
            </w:pPr>
            <w:r>
              <w:rPr>
                <w:rFonts w:hint="eastAsia" w:cs="宋体"/>
                <w:kern w:val="0"/>
                <w:szCs w:val="18"/>
              </w:rPr>
              <w:t xml:space="preserve">12 </w:t>
            </w:r>
          </w:p>
        </w:tc>
        <w:tc>
          <w:tcPr>
            <w:tcW w:w="637" w:type="pct"/>
            <w:tcBorders>
              <w:top w:val="nil"/>
              <w:left w:val="nil"/>
              <w:bottom w:val="single" w:color="auto" w:sz="4" w:space="0"/>
              <w:right w:val="single" w:color="auto" w:sz="4" w:space="0"/>
            </w:tcBorders>
            <w:shd w:val="clear" w:color="000000" w:fill="FFFF00"/>
            <w:vAlign w:val="center"/>
          </w:tcPr>
          <w:p>
            <w:pPr>
              <w:widowControl/>
              <w:jc w:val="center"/>
              <w:rPr>
                <w:rFonts w:cs="宋体"/>
                <w:kern w:val="0"/>
                <w:szCs w:val="18"/>
              </w:rPr>
            </w:pPr>
            <w:r>
              <w:rPr>
                <w:rFonts w:hint="eastAsia" w:cs="宋体"/>
                <w:kern w:val="0"/>
                <w:szCs w:val="18"/>
              </w:rPr>
              <w:t xml:space="preserve">16 </w:t>
            </w:r>
          </w:p>
        </w:tc>
        <w:tc>
          <w:tcPr>
            <w:tcW w:w="637" w:type="pct"/>
            <w:tcBorders>
              <w:top w:val="nil"/>
              <w:left w:val="nil"/>
              <w:bottom w:val="single" w:color="auto" w:sz="4" w:space="0"/>
              <w:right w:val="single" w:color="auto" w:sz="4" w:space="0"/>
            </w:tcBorders>
            <w:shd w:val="clear" w:color="000000" w:fill="FFFF00"/>
            <w:vAlign w:val="center"/>
          </w:tcPr>
          <w:p>
            <w:pPr>
              <w:widowControl/>
              <w:jc w:val="center"/>
              <w:rPr>
                <w:rFonts w:cs="宋体"/>
                <w:kern w:val="0"/>
                <w:szCs w:val="18"/>
              </w:rPr>
            </w:pPr>
            <w:r>
              <w:rPr>
                <w:rFonts w:hint="eastAsia" w:cs="宋体"/>
                <w:kern w:val="0"/>
                <w:szCs w:val="18"/>
              </w:rPr>
              <w:t xml:space="preserve">7 </w:t>
            </w:r>
          </w:p>
        </w:tc>
        <w:tc>
          <w:tcPr>
            <w:tcW w:w="391" w:type="pct"/>
            <w:tcBorders>
              <w:top w:val="nil"/>
              <w:left w:val="nil"/>
              <w:bottom w:val="single" w:color="auto" w:sz="4" w:space="0"/>
              <w:right w:val="single" w:color="auto" w:sz="4" w:space="0"/>
            </w:tcBorders>
            <w:shd w:val="clear" w:color="000000" w:fill="FFFF00"/>
            <w:vAlign w:val="center"/>
          </w:tcPr>
          <w:p>
            <w:pPr>
              <w:widowControl/>
              <w:jc w:val="center"/>
              <w:rPr>
                <w:rFonts w:hint="default" w:eastAsia="宋体" w:cs="宋体"/>
                <w:kern w:val="0"/>
                <w:szCs w:val="18"/>
                <w:lang w:val="en-US" w:eastAsia="zh-CN"/>
              </w:rPr>
            </w:pPr>
            <w:r>
              <w:rPr>
                <w:rFonts w:hint="eastAsia" w:cs="宋体"/>
                <w:kern w:val="0"/>
                <w:szCs w:val="18"/>
                <w:lang w:val="en-US" w:eastAsia="zh-CN"/>
              </w:rPr>
              <w:t>960</w:t>
            </w:r>
          </w:p>
        </w:tc>
        <w:tc>
          <w:tcPr>
            <w:tcW w:w="766" w:type="pct"/>
            <w:tcBorders>
              <w:top w:val="nil"/>
              <w:left w:val="nil"/>
              <w:bottom w:val="single" w:color="auto" w:sz="4" w:space="0"/>
              <w:right w:val="single" w:color="auto" w:sz="4" w:space="0"/>
            </w:tcBorders>
            <w:shd w:val="clear" w:color="000000" w:fill="FFFF00"/>
            <w:vAlign w:val="center"/>
          </w:tcPr>
          <w:p>
            <w:pPr>
              <w:widowControl/>
              <w:jc w:val="center"/>
              <w:rPr>
                <w:rFonts w:hint="default" w:eastAsia="宋体" w:cs="宋体"/>
                <w:kern w:val="0"/>
                <w:szCs w:val="18"/>
                <w:lang w:val="en-US" w:eastAsia="zh-CN"/>
              </w:rPr>
            </w:pPr>
            <w:r>
              <w:rPr>
                <w:rFonts w:hint="eastAsia" w:cs="宋体"/>
                <w:kern w:val="0"/>
                <w:szCs w:val="18"/>
                <w:lang w:val="en-US" w:eastAsia="zh-CN"/>
              </w:rPr>
              <w:t>23</w:t>
            </w:r>
          </w:p>
        </w:tc>
      </w:tr>
      <w:tr>
        <w:tblPrEx>
          <w:tblCellMar>
            <w:top w:w="0" w:type="dxa"/>
            <w:left w:w="108" w:type="dxa"/>
            <w:bottom w:w="0" w:type="dxa"/>
            <w:right w:w="108" w:type="dxa"/>
          </w:tblCellMar>
        </w:tblPrEx>
        <w:trPr>
          <w:trHeight w:val="90" w:hRule="atLeast"/>
        </w:trPr>
        <w:tc>
          <w:tcPr>
            <w:tcW w:w="500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cs="宋体"/>
                <w:color w:val="000000"/>
                <w:kern w:val="0"/>
                <w:szCs w:val="18"/>
              </w:rPr>
            </w:pPr>
            <w:r>
              <w:rPr>
                <w:rFonts w:hint="eastAsia" w:cs="宋体"/>
                <w:color w:val="000000"/>
                <w:kern w:val="0"/>
                <w:szCs w:val="18"/>
              </w:rPr>
              <w:t>注：平均20-24学时/周。平均周学时=学时/教学周数</w:t>
            </w:r>
          </w:p>
        </w:tc>
      </w:tr>
    </w:tbl>
    <w:p>
      <w:pPr>
        <w:spacing w:line="440" w:lineRule="exact"/>
        <w:ind w:firstLine="562" w:firstLineChars="200"/>
        <w:rPr>
          <w:b/>
          <w:bCs/>
          <w:sz w:val="28"/>
        </w:rPr>
      </w:pPr>
    </w:p>
    <w:p>
      <w:pPr>
        <w:tabs>
          <w:tab w:val="center" w:pos="4524"/>
        </w:tabs>
        <w:jc w:val="center"/>
        <w:rPr>
          <w:b/>
          <w:bCs/>
          <w:sz w:val="28"/>
        </w:rPr>
      </w:pPr>
      <w:r>
        <w:rPr>
          <w:rFonts w:hint="eastAsia"/>
          <w:b/>
          <w:bCs/>
          <w:sz w:val="28"/>
        </w:rPr>
        <w:t>（二）</w:t>
      </w:r>
      <w:bookmarkStart w:id="2" w:name="_GoBack"/>
      <w:bookmarkEnd w:id="2"/>
      <w:r>
        <w:rPr>
          <w:rFonts w:hint="eastAsia"/>
          <w:b/>
          <w:bCs/>
          <w:sz w:val="28"/>
        </w:rPr>
        <w:t>教学进程表</w:t>
      </w:r>
      <w:bookmarkStart w:id="1" w:name="b1按周实训2"/>
      <w:r>
        <w:rPr>
          <w:rFonts w:hint="eastAsia"/>
          <w:b/>
          <w:bCs/>
          <w:sz w:val="28"/>
        </w:rPr>
        <w:t>（excel格式的表格见附件）</w:t>
      </w:r>
    </w:p>
    <w:p>
      <w:pPr>
        <w:tabs>
          <w:tab w:val="center" w:pos="4524"/>
        </w:tabs>
        <w:jc w:val="center"/>
        <w:rPr>
          <w:b/>
          <w:bCs/>
          <w:color w:val="FF0000"/>
          <w:sz w:val="24"/>
        </w:rPr>
      </w:pPr>
      <w:r>
        <w:rPr>
          <w:b/>
          <w:bCs/>
          <w:color w:val="FF0000"/>
          <w:sz w:val="24"/>
        </w:rPr>
        <w:t>表8  教学进程表</w:t>
      </w:r>
    </w:p>
    <w:tbl>
      <w:tblPr>
        <w:tblStyle w:val="12"/>
        <w:tblW w:w="5000" w:type="pct"/>
        <w:tblInd w:w="0" w:type="dxa"/>
        <w:tblLayout w:type="autofit"/>
        <w:tblCellMar>
          <w:top w:w="0" w:type="dxa"/>
          <w:left w:w="108" w:type="dxa"/>
          <w:bottom w:w="0" w:type="dxa"/>
          <w:right w:w="108" w:type="dxa"/>
        </w:tblCellMar>
      </w:tblPr>
      <w:tblGrid>
        <w:gridCol w:w="667"/>
        <w:gridCol w:w="420"/>
        <w:gridCol w:w="1872"/>
        <w:gridCol w:w="590"/>
        <w:gridCol w:w="522"/>
        <w:gridCol w:w="583"/>
        <w:gridCol w:w="647"/>
        <w:gridCol w:w="652"/>
        <w:gridCol w:w="558"/>
        <w:gridCol w:w="492"/>
        <w:gridCol w:w="622"/>
        <w:gridCol w:w="566"/>
        <w:gridCol w:w="716"/>
      </w:tblGrid>
      <w:tr>
        <w:tblPrEx>
          <w:tblCellMar>
            <w:top w:w="0" w:type="dxa"/>
            <w:left w:w="108" w:type="dxa"/>
            <w:bottom w:w="0" w:type="dxa"/>
            <w:right w:w="108" w:type="dxa"/>
          </w:tblCellMar>
        </w:tblPrEx>
        <w:trPr>
          <w:trHeight w:val="285" w:hRule="atLeast"/>
        </w:trPr>
        <w:tc>
          <w:tcPr>
            <w:tcW w:w="3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课程类别</w:t>
            </w:r>
          </w:p>
        </w:tc>
        <w:tc>
          <w:tcPr>
            <w:tcW w:w="2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序号</w:t>
            </w:r>
          </w:p>
        </w:tc>
        <w:tc>
          <w:tcPr>
            <w:tcW w:w="10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课程名称</w:t>
            </w:r>
          </w:p>
        </w:tc>
        <w:tc>
          <w:tcPr>
            <w:tcW w:w="3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管理单位</w:t>
            </w:r>
          </w:p>
        </w:tc>
        <w:tc>
          <w:tcPr>
            <w:tcW w:w="2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学分</w:t>
            </w:r>
          </w:p>
        </w:tc>
        <w:tc>
          <w:tcPr>
            <w:tcW w:w="3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总学时</w:t>
            </w:r>
          </w:p>
        </w:tc>
        <w:tc>
          <w:tcPr>
            <w:tcW w:w="3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理论学时</w:t>
            </w:r>
          </w:p>
        </w:tc>
        <w:tc>
          <w:tcPr>
            <w:tcW w:w="36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实践学时</w:t>
            </w:r>
          </w:p>
        </w:tc>
        <w:tc>
          <w:tcPr>
            <w:tcW w:w="1256" w:type="pct"/>
            <w:gridSpan w:val="4"/>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各学期教学周学时分配</w:t>
            </w:r>
          </w:p>
        </w:tc>
        <w:tc>
          <w:tcPr>
            <w:tcW w:w="4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考核方式</w:t>
            </w:r>
          </w:p>
        </w:tc>
      </w:tr>
      <w:tr>
        <w:tblPrEx>
          <w:tblCellMar>
            <w:top w:w="0" w:type="dxa"/>
            <w:left w:w="108" w:type="dxa"/>
            <w:bottom w:w="0" w:type="dxa"/>
            <w:right w:w="108" w:type="dxa"/>
          </w:tblCellMar>
        </w:tblPrEx>
        <w:trPr>
          <w:trHeight w:val="285" w:hRule="atLeast"/>
        </w:trPr>
        <w:tc>
          <w:tcPr>
            <w:tcW w:w="375"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23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104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29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27"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6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1</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2</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3</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4</w:t>
            </w:r>
          </w:p>
        </w:tc>
        <w:tc>
          <w:tcPr>
            <w:tcW w:w="40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r>
      <w:tr>
        <w:tblPrEx>
          <w:tblCellMar>
            <w:top w:w="0" w:type="dxa"/>
            <w:left w:w="108" w:type="dxa"/>
            <w:bottom w:w="0" w:type="dxa"/>
            <w:right w:w="108" w:type="dxa"/>
          </w:tblCellMar>
        </w:tblPrEx>
        <w:trPr>
          <w:trHeight w:val="285" w:hRule="atLeast"/>
        </w:trPr>
        <w:tc>
          <w:tcPr>
            <w:tcW w:w="375"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23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1049"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31"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29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27"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63"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66"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jc w:val="center"/>
              <w:rPr>
                <w:color w:val="FF0000"/>
                <w:sz w:val="15"/>
                <w:szCs w:val="15"/>
                <w:highlight w:val="yellow"/>
              </w:rPr>
            </w:pPr>
            <w:r>
              <w:rPr>
                <w:rFonts w:hint="eastAsia"/>
                <w:color w:val="FF0000"/>
                <w:sz w:val="15"/>
                <w:szCs w:val="15"/>
                <w:highlight w:val="yellow"/>
              </w:rPr>
              <w:t>1</w:t>
            </w:r>
            <w:r>
              <w:rPr>
                <w:rFonts w:hint="eastAsia"/>
                <w:color w:val="FF0000"/>
                <w:sz w:val="15"/>
                <w:szCs w:val="15"/>
                <w:highlight w:val="yellow"/>
                <w:lang w:val="en-US" w:eastAsia="zh-CN"/>
              </w:rPr>
              <w:t>3</w:t>
            </w:r>
            <w:r>
              <w:rPr>
                <w:rFonts w:hint="eastAsia"/>
                <w:color w:val="FF0000"/>
                <w:sz w:val="15"/>
                <w:szCs w:val="15"/>
                <w:highlight w:val="yellow"/>
              </w:rPr>
              <w:t>周</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1</w:t>
            </w:r>
            <w:r>
              <w:rPr>
                <w:sz w:val="15"/>
                <w:szCs w:val="15"/>
              </w:rPr>
              <w:t>8</w:t>
            </w:r>
            <w:r>
              <w:rPr>
                <w:rFonts w:hint="eastAsia"/>
                <w:sz w:val="15"/>
                <w:szCs w:val="15"/>
              </w:rPr>
              <w:t>周</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1</w:t>
            </w:r>
            <w:r>
              <w:rPr>
                <w:sz w:val="15"/>
                <w:szCs w:val="15"/>
              </w:rPr>
              <w:t>8</w:t>
            </w:r>
            <w:r>
              <w:rPr>
                <w:rFonts w:hint="eastAsia"/>
                <w:sz w:val="15"/>
                <w:szCs w:val="15"/>
              </w:rPr>
              <w:t>周</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1</w:t>
            </w:r>
            <w:r>
              <w:rPr>
                <w:sz w:val="15"/>
                <w:szCs w:val="15"/>
              </w:rPr>
              <w:t>8</w:t>
            </w:r>
            <w:r>
              <w:rPr>
                <w:rFonts w:hint="eastAsia"/>
                <w:sz w:val="15"/>
                <w:szCs w:val="15"/>
              </w:rPr>
              <w:t>周</w:t>
            </w:r>
          </w:p>
        </w:tc>
        <w:tc>
          <w:tcPr>
            <w:tcW w:w="400" w:type="pct"/>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15"/>
                <w:szCs w:val="15"/>
              </w:rPr>
            </w:pPr>
          </w:p>
        </w:tc>
      </w:tr>
      <w:tr>
        <w:tblPrEx>
          <w:tblCellMar>
            <w:top w:w="0" w:type="dxa"/>
            <w:left w:w="108" w:type="dxa"/>
            <w:bottom w:w="0" w:type="dxa"/>
            <w:right w:w="108" w:type="dxa"/>
          </w:tblCellMar>
        </w:tblPrEx>
        <w:trPr>
          <w:trHeight w:val="285" w:hRule="atLeast"/>
        </w:trPr>
        <w:tc>
          <w:tcPr>
            <w:tcW w:w="375" w:type="pct"/>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sz w:val="15"/>
                <w:szCs w:val="15"/>
              </w:rPr>
            </w:pPr>
            <w:r>
              <w:rPr>
                <w:rFonts w:hint="eastAsia"/>
                <w:sz w:val="15"/>
                <w:szCs w:val="15"/>
              </w:rPr>
              <w:t>公共基础课</w:t>
            </w: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jc w:val="left"/>
              <w:rPr>
                <w:sz w:val="15"/>
                <w:szCs w:val="15"/>
              </w:rPr>
            </w:pPr>
            <w:r>
              <w:rPr>
                <w:rFonts w:hint="eastAsia"/>
                <w:sz w:val="15"/>
                <w:szCs w:val="15"/>
              </w:rPr>
              <w:t>1</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jc w:val="left"/>
              <w:rPr>
                <w:rFonts w:hint="eastAsia" w:eastAsia="宋体"/>
                <w:sz w:val="15"/>
                <w:szCs w:val="15"/>
                <w:lang w:eastAsia="zh-CN"/>
              </w:rPr>
            </w:pPr>
            <w:r>
              <w:rPr>
                <w:rFonts w:hint="eastAsia"/>
                <w:sz w:val="15"/>
                <w:szCs w:val="15"/>
                <w:lang w:eastAsia="zh-CN"/>
              </w:rPr>
              <w:t>马克思主义基本原理</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jc w:val="left"/>
              <w:rPr>
                <w:sz w:val="15"/>
                <w:szCs w:val="15"/>
              </w:rPr>
            </w:pPr>
            <w:r>
              <w:rPr>
                <w:rFonts w:hint="eastAsia"/>
                <w:sz w:val="15"/>
                <w:szCs w:val="15"/>
              </w:rPr>
              <w:t>马院</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jc w:val="left"/>
              <w:rPr>
                <w:rFonts w:hint="eastAsia" w:eastAsia="宋体"/>
                <w:color w:val="FF0000"/>
                <w:sz w:val="15"/>
                <w:szCs w:val="15"/>
                <w:lang w:val="en-US" w:eastAsia="zh-CN"/>
              </w:rPr>
            </w:pPr>
            <w:r>
              <w:rPr>
                <w:rFonts w:hint="eastAsia"/>
                <w:color w:val="FF0000"/>
                <w:sz w:val="15"/>
                <w:szCs w:val="15"/>
                <w:lang w:val="en-US" w:eastAsia="zh-CN"/>
              </w:rPr>
              <w:t>3</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jc w:val="left"/>
              <w:rPr>
                <w:rFonts w:hint="default" w:eastAsia="宋体"/>
                <w:color w:val="FF0000"/>
                <w:sz w:val="15"/>
                <w:szCs w:val="15"/>
                <w:lang w:val="en-US" w:eastAsia="zh-CN"/>
              </w:rPr>
            </w:pPr>
            <w:r>
              <w:rPr>
                <w:rFonts w:hint="eastAsia"/>
                <w:color w:val="FF0000"/>
                <w:sz w:val="15"/>
                <w:szCs w:val="15"/>
                <w:lang w:val="en-US" w:eastAsia="zh-CN"/>
              </w:rPr>
              <w:t>48</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jc w:val="left"/>
              <w:rPr>
                <w:rFonts w:hint="default" w:eastAsia="宋体"/>
                <w:color w:val="FF0000"/>
                <w:sz w:val="15"/>
                <w:szCs w:val="15"/>
                <w:lang w:val="en-US" w:eastAsia="zh-CN"/>
              </w:rPr>
            </w:pPr>
            <w:r>
              <w:rPr>
                <w:rFonts w:hint="eastAsia"/>
                <w:color w:val="FF0000"/>
                <w:sz w:val="15"/>
                <w:szCs w:val="15"/>
                <w:lang w:val="en-US" w:eastAsia="zh-CN"/>
              </w:rPr>
              <w:t>40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jc w:val="left"/>
              <w:rPr>
                <w:rFonts w:hint="eastAsia" w:eastAsia="宋体"/>
                <w:color w:val="FF0000"/>
                <w:sz w:val="15"/>
                <w:szCs w:val="15"/>
                <w:lang w:eastAsia="zh-CN"/>
              </w:rPr>
            </w:pPr>
            <w:r>
              <w:rPr>
                <w:rFonts w:hint="eastAsia"/>
                <w:color w:val="FF0000"/>
                <w:sz w:val="15"/>
                <w:szCs w:val="15"/>
                <w:lang w:val="en-US" w:eastAsia="zh-CN"/>
              </w:rPr>
              <w:t>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jc w:val="left"/>
              <w:rPr>
                <w:rFonts w:hint="eastAsia" w:eastAsia="宋体"/>
                <w:color w:val="FF0000"/>
                <w:sz w:val="15"/>
                <w:szCs w:val="15"/>
                <w:lang w:val="en-US" w:eastAsia="zh-CN"/>
              </w:rPr>
            </w:pPr>
            <w:r>
              <w:rPr>
                <w:rFonts w:hint="eastAsia"/>
                <w:color w:val="FF0000"/>
                <w:sz w:val="15"/>
                <w:szCs w:val="15"/>
                <w:lang w:val="en-US" w:eastAsia="zh-CN"/>
              </w:rPr>
              <w:t>4</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jc w:val="left"/>
              <w:rPr>
                <w:color w:val="FF0000"/>
                <w:sz w:val="15"/>
                <w:szCs w:val="15"/>
              </w:rPr>
            </w:pPr>
            <w:r>
              <w:rPr>
                <w:rFonts w:hint="eastAsia"/>
                <w:color w:val="FF0000"/>
                <w:sz w:val="15"/>
                <w:szCs w:val="15"/>
              </w:rPr>
              <w:t>0</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jc w:val="left"/>
              <w:rPr>
                <w:color w:val="FF0000"/>
                <w:sz w:val="15"/>
                <w:szCs w:val="15"/>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jc w:val="left"/>
              <w:rPr>
                <w:color w:val="FF0000"/>
                <w:sz w:val="15"/>
                <w:szCs w:val="15"/>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jc w:val="left"/>
              <w:rPr>
                <w:rFonts w:hint="default" w:eastAsia="宋体"/>
                <w:color w:val="FF0000"/>
                <w:sz w:val="15"/>
                <w:szCs w:val="15"/>
                <w:lang w:val="en-US" w:eastAsia="zh-CN"/>
              </w:rPr>
            </w:pPr>
            <w:r>
              <w:rPr>
                <w:rFonts w:hint="eastAsia"/>
                <w:color w:val="FF0000"/>
                <w:sz w:val="15"/>
                <w:szCs w:val="15"/>
                <w:lang w:val="en-US" w:eastAsia="zh-CN"/>
              </w:rPr>
              <w:t>C，2-13</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2</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kern w:val="2"/>
                <w:sz w:val="15"/>
                <w:szCs w:val="15"/>
                <w:lang w:val="en-US" w:eastAsia="zh-CN" w:bidi="ar-SA"/>
              </w:rPr>
            </w:pPr>
            <w:r>
              <w:rPr>
                <w:rFonts w:hint="eastAsia" w:cs="Times New Roman"/>
                <w:kern w:val="2"/>
                <w:sz w:val="15"/>
                <w:szCs w:val="15"/>
                <w:lang w:val="en-US" w:eastAsia="zh-CN" w:bidi="ar-SA"/>
              </w:rPr>
              <w:t>大学美育教育</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人文</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cs="Times New Roman"/>
                <w:kern w:val="2"/>
                <w:sz w:val="15"/>
                <w:szCs w:val="15"/>
                <w:lang w:val="en-US" w:eastAsia="zh-CN" w:bidi="ar-SA"/>
              </w:rPr>
              <w:t>2</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cs="Times New Roman"/>
                <w:kern w:val="2"/>
                <w:sz w:val="15"/>
                <w:szCs w:val="15"/>
                <w:lang w:val="en-US" w:eastAsia="zh-CN" w:bidi="ar-SA"/>
              </w:rPr>
              <w:t>32</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cs="Times New Roman"/>
                <w:kern w:val="2"/>
                <w:sz w:val="15"/>
                <w:szCs w:val="15"/>
                <w:lang w:val="en-US" w:eastAsia="zh-CN" w:bidi="ar-SA"/>
              </w:rPr>
              <w:t>16</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cs="Times New Roman"/>
                <w:kern w:val="2"/>
                <w:sz w:val="15"/>
                <w:szCs w:val="15"/>
                <w:lang w:val="en-US" w:eastAsia="zh-CN" w:bidi="ar-SA"/>
              </w:rPr>
              <w:t>16</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cs="Times New Roman"/>
                <w:kern w:val="2"/>
                <w:sz w:val="15"/>
                <w:szCs w:val="15"/>
                <w:lang w:val="en-US" w:eastAsia="zh-CN" w:bidi="ar-SA"/>
              </w:rPr>
              <w:t>0</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cs="Times New Roman"/>
                <w:kern w:val="2"/>
                <w:sz w:val="15"/>
                <w:szCs w:val="15"/>
                <w:lang w:val="en-US" w:eastAsia="zh-CN" w:bidi="ar-SA"/>
              </w:rPr>
              <w:t>32</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cs="Times New Roman"/>
                <w:kern w:val="2"/>
                <w:sz w:val="15"/>
                <w:szCs w:val="15"/>
                <w:lang w:val="en-US" w:eastAsia="zh-CN" w:bidi="ar-SA"/>
              </w:rPr>
              <w:t>C</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3</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000000" w:themeColor="text1"/>
                <w:kern w:val="2"/>
                <w:sz w:val="15"/>
                <w:szCs w:val="15"/>
                <w:lang w:val="en-US" w:eastAsia="zh-CN" w:bidi="ar-SA"/>
                <w14:textFill>
                  <w14:solidFill>
                    <w14:schemeClr w14:val="tx1"/>
                  </w14:solidFill>
                </w14:textFill>
              </w:rPr>
            </w:pPr>
            <w:r>
              <w:rPr>
                <w:rFonts w:hint="eastAsia"/>
                <w:color w:val="000000" w:themeColor="text1"/>
                <w:sz w:val="15"/>
                <w:szCs w:val="15"/>
                <w14:textFill>
                  <w14:solidFill>
                    <w14:schemeClr w14:val="tx1"/>
                  </w14:solidFill>
                </w14:textFill>
              </w:rPr>
              <w:t>高等数学</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000000" w:themeColor="text1"/>
                <w:kern w:val="2"/>
                <w:sz w:val="15"/>
                <w:szCs w:val="15"/>
                <w:lang w:val="en-US" w:eastAsia="zh-CN" w:bidi="ar-SA"/>
                <w14:textFill>
                  <w14:solidFill>
                    <w14:schemeClr w14:val="tx1"/>
                  </w14:solidFill>
                </w14:textFill>
              </w:rPr>
            </w:pPr>
            <w:r>
              <w:rPr>
                <w:rFonts w:hint="eastAsia"/>
                <w:color w:val="000000" w:themeColor="text1"/>
                <w:sz w:val="15"/>
                <w:szCs w:val="15"/>
                <w14:textFill>
                  <w14:solidFill>
                    <w14:schemeClr w14:val="tx1"/>
                  </w14:solidFill>
                </w14:textFill>
              </w:rPr>
              <w:t>人文</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000000" w:themeColor="text1"/>
                <w:kern w:val="2"/>
                <w:sz w:val="15"/>
                <w:szCs w:val="15"/>
                <w:lang w:val="en-US" w:eastAsia="zh-CN" w:bidi="ar-SA"/>
                <w14:textFill>
                  <w14:solidFill>
                    <w14:schemeClr w14:val="tx1"/>
                  </w14:solidFill>
                </w14:textFill>
              </w:rPr>
            </w:pPr>
            <w:r>
              <w:rPr>
                <w:rFonts w:hint="eastAsia" w:cs="Times New Roman"/>
                <w:color w:val="000000" w:themeColor="text1"/>
                <w:kern w:val="2"/>
                <w:sz w:val="15"/>
                <w:szCs w:val="15"/>
                <w:lang w:val="en-US" w:eastAsia="zh-CN" w:bidi="ar-SA"/>
                <w14:textFill>
                  <w14:solidFill>
                    <w14:schemeClr w14:val="tx1"/>
                  </w14:solidFill>
                </w14:textFill>
              </w:rPr>
              <w:t>3</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000000" w:themeColor="text1"/>
                <w:kern w:val="2"/>
                <w:sz w:val="15"/>
                <w:szCs w:val="15"/>
                <w:lang w:val="en-US" w:eastAsia="zh-CN" w:bidi="ar-SA"/>
                <w14:textFill>
                  <w14:solidFill>
                    <w14:schemeClr w14:val="tx1"/>
                  </w14:solidFill>
                </w14:textFill>
              </w:rPr>
            </w:pPr>
            <w:r>
              <w:rPr>
                <w:rFonts w:hint="eastAsia" w:cs="Times New Roman"/>
                <w:color w:val="000000" w:themeColor="text1"/>
                <w:kern w:val="2"/>
                <w:sz w:val="15"/>
                <w:szCs w:val="15"/>
                <w:lang w:val="en-US" w:eastAsia="zh-CN" w:bidi="ar-SA"/>
                <w14:textFill>
                  <w14:solidFill>
                    <w14:schemeClr w14:val="tx1"/>
                  </w14:solidFill>
                </w14:textFill>
              </w:rPr>
              <w:t>48</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000000" w:themeColor="text1"/>
                <w:kern w:val="2"/>
                <w:sz w:val="15"/>
                <w:szCs w:val="15"/>
                <w:lang w:val="en-US" w:eastAsia="zh-CN" w:bidi="ar-SA"/>
                <w14:textFill>
                  <w14:solidFill>
                    <w14:schemeClr w14:val="tx1"/>
                  </w14:solidFill>
                </w14:textFill>
              </w:rPr>
            </w:pPr>
            <w:r>
              <w:rPr>
                <w:rFonts w:hint="eastAsia" w:cs="Times New Roman"/>
                <w:color w:val="000000" w:themeColor="text1"/>
                <w:kern w:val="2"/>
                <w:sz w:val="15"/>
                <w:szCs w:val="15"/>
                <w:lang w:val="en-US" w:eastAsia="zh-CN" w:bidi="ar-SA"/>
                <w14:textFill>
                  <w14:solidFill>
                    <w14:schemeClr w14:val="tx1"/>
                  </w14:solidFill>
                </w14:textFill>
              </w:rPr>
              <w:t>40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000000" w:themeColor="text1"/>
                <w:kern w:val="2"/>
                <w:sz w:val="15"/>
                <w:szCs w:val="15"/>
                <w:lang w:val="en-US" w:eastAsia="zh-CN" w:bidi="ar-SA"/>
                <w14:textFill>
                  <w14:solidFill>
                    <w14:schemeClr w14:val="tx1"/>
                  </w14:solidFill>
                </w14:textFill>
              </w:rPr>
            </w:pPr>
            <w:r>
              <w:rPr>
                <w:rFonts w:hint="eastAsia" w:cs="Times New Roman"/>
                <w:color w:val="000000" w:themeColor="text1"/>
                <w:kern w:val="2"/>
                <w:sz w:val="15"/>
                <w:szCs w:val="15"/>
                <w:lang w:val="en-US" w:eastAsia="zh-CN" w:bidi="ar-SA"/>
                <w14:textFill>
                  <w14:solidFill>
                    <w14:schemeClr w14:val="tx1"/>
                  </w14:solidFill>
                </w14:textFill>
              </w:rPr>
              <w:t>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000000" w:themeColor="text1"/>
                <w:kern w:val="2"/>
                <w:sz w:val="15"/>
                <w:szCs w:val="15"/>
                <w:lang w:val="en-US" w:eastAsia="zh-CN" w:bidi="ar-SA"/>
                <w14:textFill>
                  <w14:solidFill>
                    <w14:schemeClr w14:val="tx1"/>
                  </w14:solidFill>
                </w14:textFill>
              </w:rPr>
            </w:pPr>
            <w:r>
              <w:rPr>
                <w:rFonts w:hint="eastAsia" w:cs="Times New Roman"/>
                <w:color w:val="000000" w:themeColor="text1"/>
                <w:kern w:val="2"/>
                <w:sz w:val="15"/>
                <w:szCs w:val="15"/>
                <w:highlight w:val="yellow"/>
                <w:lang w:val="en-US" w:eastAsia="zh-CN" w:bidi="ar-SA"/>
                <w14:textFill>
                  <w14:solidFill>
                    <w14:schemeClr w14:val="tx1"/>
                  </w14:solidFill>
                </w14:textFill>
              </w:rPr>
              <w:t>48</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000000" w:themeColor="text1"/>
                <w:kern w:val="2"/>
                <w:sz w:val="15"/>
                <w:szCs w:val="15"/>
                <w:lang w:val="en-US" w:eastAsia="zh-CN" w:bidi="ar-SA"/>
                <w14:textFill>
                  <w14:solidFill>
                    <w14:schemeClr w14:val="tx1"/>
                  </w14:solidFill>
                </w14:textFill>
              </w:rPr>
            </w:pP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000000" w:themeColor="text1"/>
                <w:kern w:val="2"/>
                <w:sz w:val="15"/>
                <w:szCs w:val="15"/>
                <w:lang w:val="en-US" w:eastAsia="zh-CN" w:bidi="ar-SA"/>
                <w14:textFill>
                  <w14:solidFill>
                    <w14:schemeClr w14:val="tx1"/>
                  </w14:solidFill>
                </w14:textFill>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000000" w:themeColor="text1"/>
                <w:kern w:val="2"/>
                <w:sz w:val="15"/>
                <w:szCs w:val="15"/>
                <w:lang w:val="en-US" w:eastAsia="zh-CN" w:bidi="ar-SA"/>
                <w14:textFill>
                  <w14:solidFill>
                    <w14:schemeClr w14:val="tx1"/>
                  </w14:solidFill>
                </w14:textFill>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000000" w:themeColor="text1"/>
                <w:kern w:val="2"/>
                <w:sz w:val="15"/>
                <w:szCs w:val="15"/>
                <w:lang w:val="en-US" w:eastAsia="zh-CN" w:bidi="ar-SA"/>
                <w14:textFill>
                  <w14:solidFill>
                    <w14:schemeClr w14:val="tx1"/>
                  </w14:solidFill>
                </w14:textFill>
              </w:rPr>
            </w:pPr>
            <w:r>
              <w:rPr>
                <w:rFonts w:hint="eastAsia"/>
                <w:color w:val="000000" w:themeColor="text1"/>
                <w:sz w:val="15"/>
                <w:szCs w:val="15"/>
                <w:lang w:val="en-US" w:eastAsia="zh-CN"/>
                <w14:textFill>
                  <w14:solidFill>
                    <w14:schemeClr w14:val="tx1"/>
                  </w14:solidFill>
                </w14:textFill>
              </w:rPr>
              <w:t>K</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4</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lang w:eastAsia="zh-CN"/>
              </w:rPr>
              <w:t>大数据思维</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lang w:eastAsia="zh-CN"/>
              </w:rPr>
              <w:t>工程</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2</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32</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16</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16</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C</w:t>
            </w:r>
          </w:p>
        </w:tc>
      </w:tr>
      <w:tr>
        <w:tblPrEx>
          <w:tblCellMar>
            <w:top w:w="0" w:type="dxa"/>
            <w:left w:w="108" w:type="dxa"/>
            <w:bottom w:w="0" w:type="dxa"/>
            <w:right w:w="108" w:type="dxa"/>
          </w:tblCellMar>
        </w:tblPrEx>
        <w:trPr>
          <w:trHeight w:val="282"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5</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lang w:eastAsia="zh-CN"/>
              </w:rPr>
              <w:t>文献检索与科技论文写作</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人文</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2</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16</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16</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C</w:t>
            </w:r>
          </w:p>
        </w:tc>
      </w:tr>
      <w:tr>
        <w:tblPrEx>
          <w:tblCellMar>
            <w:top w:w="0" w:type="dxa"/>
            <w:left w:w="108" w:type="dxa"/>
            <w:bottom w:w="0" w:type="dxa"/>
            <w:right w:w="108" w:type="dxa"/>
          </w:tblCellMar>
        </w:tblPrEx>
        <w:trPr>
          <w:trHeight w:val="342"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sz w:val="15"/>
                <w:szCs w:val="15"/>
                <w:lang w:val="en-US" w:eastAsia="zh-CN"/>
              </w:rPr>
            </w:pPr>
            <w:r>
              <w:rPr>
                <w:rFonts w:hint="eastAsia"/>
                <w:sz w:val="15"/>
                <w:szCs w:val="15"/>
                <w:lang w:val="en-US" w:eastAsia="zh-CN"/>
              </w:rPr>
              <w:t>6</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olor w:val="FF0000"/>
                <w:sz w:val="15"/>
                <w:szCs w:val="15"/>
                <w:lang w:val="en-US" w:eastAsia="zh-CN"/>
              </w:rPr>
              <w:t>中国近现代史纲要</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olor w:val="FF0000"/>
                <w:sz w:val="15"/>
                <w:szCs w:val="15"/>
                <w:lang w:val="en-US" w:eastAsia="zh-CN"/>
              </w:rPr>
              <w:t>马院</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3</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48</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40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48</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olor w:val="FF0000"/>
                <w:sz w:val="15"/>
                <w:szCs w:val="15"/>
                <w:lang w:val="en-US" w:eastAsia="zh-CN"/>
              </w:rPr>
              <w:t>C,2-13</w:t>
            </w:r>
          </w:p>
        </w:tc>
      </w:tr>
      <w:tr>
        <w:tblPrEx>
          <w:tblCellMar>
            <w:top w:w="0" w:type="dxa"/>
            <w:left w:w="108" w:type="dxa"/>
            <w:bottom w:w="0" w:type="dxa"/>
            <w:right w:w="108" w:type="dxa"/>
          </w:tblCellMar>
        </w:tblPrEx>
        <w:trPr>
          <w:trHeight w:val="342"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color w:val="FF0000"/>
                <w:sz w:val="15"/>
                <w:szCs w:val="15"/>
                <w:lang w:val="en-US" w:eastAsia="zh-CN"/>
              </w:rPr>
            </w:pPr>
            <w:r>
              <w:rPr>
                <w:rFonts w:hint="eastAsia"/>
                <w:color w:val="FF0000"/>
                <w:sz w:val="15"/>
                <w:szCs w:val="15"/>
                <w:lang w:val="en-US" w:eastAsia="zh-CN"/>
              </w:rPr>
              <w:t>7</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形势与政策（五）</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马院</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0.25</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12</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8</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4</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12</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C，8-11</w:t>
            </w:r>
          </w:p>
        </w:tc>
      </w:tr>
      <w:tr>
        <w:tblPrEx>
          <w:tblCellMar>
            <w:top w:w="0" w:type="dxa"/>
            <w:left w:w="108" w:type="dxa"/>
            <w:bottom w:w="0" w:type="dxa"/>
            <w:right w:w="108" w:type="dxa"/>
          </w:tblCellMar>
        </w:tblPrEx>
        <w:trPr>
          <w:trHeight w:val="342"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color w:val="FF0000"/>
                <w:sz w:val="15"/>
                <w:szCs w:val="15"/>
                <w:lang w:val="en-US" w:eastAsia="zh-CN"/>
              </w:rPr>
            </w:pPr>
            <w:r>
              <w:rPr>
                <w:rFonts w:hint="eastAsia"/>
                <w:color w:val="FF0000"/>
                <w:sz w:val="15"/>
                <w:szCs w:val="15"/>
                <w:lang w:val="en-US" w:eastAsia="zh-CN"/>
              </w:rPr>
              <w:t>8</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形势与政策（六）</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olor w:val="FF0000"/>
                <w:sz w:val="15"/>
                <w:szCs w:val="15"/>
                <w:lang w:val="en-US" w:eastAsia="zh-CN"/>
              </w:rPr>
              <w:t>马院</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0.25</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12</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8</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4</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12</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C,8-11</w:t>
            </w:r>
          </w:p>
        </w:tc>
      </w:tr>
      <w:tr>
        <w:tblPrEx>
          <w:tblCellMar>
            <w:top w:w="0" w:type="dxa"/>
            <w:left w:w="108" w:type="dxa"/>
            <w:bottom w:w="0" w:type="dxa"/>
            <w:right w:w="108" w:type="dxa"/>
          </w:tblCellMar>
        </w:tblPrEx>
        <w:trPr>
          <w:trHeight w:val="342"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color w:val="FF0000"/>
                <w:sz w:val="15"/>
                <w:szCs w:val="15"/>
                <w:lang w:val="en-US" w:eastAsia="zh-CN"/>
              </w:rPr>
            </w:pPr>
            <w:r>
              <w:rPr>
                <w:rFonts w:hint="eastAsia"/>
                <w:color w:val="FF0000"/>
                <w:sz w:val="15"/>
                <w:szCs w:val="15"/>
                <w:lang w:val="en-US" w:eastAsia="zh-CN"/>
              </w:rPr>
              <w:t>9</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olor w:val="FF0000"/>
                <w:sz w:val="15"/>
                <w:szCs w:val="15"/>
                <w:lang w:val="en-US" w:eastAsia="zh-CN"/>
              </w:rPr>
              <w:t>习近平新时代中国特色社会主义思想概论（一）</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olor w:val="FF0000"/>
                <w:sz w:val="15"/>
                <w:szCs w:val="15"/>
                <w:lang w:val="en-US" w:eastAsia="zh-CN"/>
              </w:rPr>
              <w:t>马院</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1.5</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24</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20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4</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24</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K,2-13</w:t>
            </w:r>
          </w:p>
        </w:tc>
      </w:tr>
      <w:tr>
        <w:tblPrEx>
          <w:tblCellMar>
            <w:top w:w="0" w:type="dxa"/>
            <w:left w:w="108" w:type="dxa"/>
            <w:bottom w:w="0" w:type="dxa"/>
            <w:right w:w="108" w:type="dxa"/>
          </w:tblCellMar>
        </w:tblPrEx>
        <w:trPr>
          <w:trHeight w:val="342"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color w:val="FF0000"/>
                <w:sz w:val="15"/>
                <w:szCs w:val="15"/>
                <w:lang w:val="en-US" w:eastAsia="zh-CN"/>
              </w:rPr>
            </w:pPr>
            <w:r>
              <w:rPr>
                <w:rFonts w:hint="eastAsia"/>
                <w:color w:val="FF0000"/>
                <w:sz w:val="15"/>
                <w:szCs w:val="15"/>
                <w:lang w:val="en-US" w:eastAsia="zh-CN"/>
              </w:rPr>
              <w:t>10</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习近平新时代中国特色社会主义思想概论（二）</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马院</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1.5</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24</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20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4</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24</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K,2-13</w:t>
            </w:r>
          </w:p>
        </w:tc>
      </w:tr>
      <w:tr>
        <w:tblPrEx>
          <w:tblCellMar>
            <w:top w:w="0" w:type="dxa"/>
            <w:left w:w="108" w:type="dxa"/>
            <w:bottom w:w="0" w:type="dxa"/>
            <w:right w:w="108" w:type="dxa"/>
          </w:tblCellMar>
        </w:tblPrEx>
        <w:trPr>
          <w:trHeight w:val="554"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color w:val="FF0000"/>
                <w:sz w:val="15"/>
                <w:szCs w:val="15"/>
                <w:lang w:val="en-US" w:eastAsia="zh-CN"/>
              </w:rPr>
            </w:pPr>
            <w:r>
              <w:rPr>
                <w:rFonts w:hint="eastAsia"/>
                <w:color w:val="FF0000"/>
                <w:sz w:val="15"/>
                <w:szCs w:val="15"/>
                <w:lang w:val="en-US" w:eastAsia="zh-CN"/>
              </w:rPr>
              <w:t>11</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olor w:val="FF0000"/>
                <w:sz w:val="15"/>
                <w:szCs w:val="15"/>
                <w:lang w:val="en-US" w:eastAsia="zh-CN"/>
              </w:rPr>
              <w:t>中华文化选读</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人文</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1</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24</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24</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24</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color w:val="FF0000"/>
                <w:kern w:val="2"/>
                <w:sz w:val="15"/>
                <w:szCs w:val="15"/>
                <w:lang w:val="en-US" w:eastAsia="zh-CN" w:bidi="ar-SA"/>
              </w:rPr>
            </w:pPr>
            <w:r>
              <w:rPr>
                <w:rFonts w:hint="eastAsia"/>
                <w:color w:val="FF0000"/>
                <w:sz w:val="15"/>
                <w:szCs w:val="15"/>
                <w:lang w:val="en-US" w:eastAsia="zh-CN"/>
              </w:rPr>
              <w:t>C</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1286" w:type="pct"/>
            <w:gridSpan w:val="2"/>
            <w:tcBorders>
              <w:top w:val="single" w:color="auto" w:sz="4" w:space="0"/>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公共基础课小计</w:t>
            </w:r>
          </w:p>
        </w:tc>
        <w:tc>
          <w:tcPr>
            <w:tcW w:w="331"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　</w:t>
            </w:r>
          </w:p>
        </w:tc>
        <w:tc>
          <w:tcPr>
            <w:tcW w:w="29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r>
              <w:rPr>
                <w:rFonts w:hint="eastAsia"/>
                <w:color w:val="FF0000"/>
                <w:sz w:val="15"/>
                <w:szCs w:val="15"/>
                <w:lang w:val="en-US" w:eastAsia="zh-CN"/>
              </w:rPr>
              <w:t>19.5</w:t>
            </w:r>
          </w:p>
        </w:tc>
        <w:tc>
          <w:tcPr>
            <w:tcW w:w="327"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r>
              <w:rPr>
                <w:rFonts w:hint="eastAsia"/>
                <w:color w:val="FF0000"/>
                <w:sz w:val="15"/>
                <w:szCs w:val="15"/>
                <w:lang w:val="en-US" w:eastAsia="zh-CN"/>
              </w:rPr>
              <w:t>336</w:t>
            </w:r>
          </w:p>
        </w:tc>
        <w:tc>
          <w:tcPr>
            <w:tcW w:w="36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r>
              <w:rPr>
                <w:rFonts w:hint="eastAsia"/>
                <w:color w:val="FF0000"/>
                <w:sz w:val="15"/>
                <w:szCs w:val="15"/>
                <w:lang w:val="en-US" w:eastAsia="zh-CN"/>
              </w:rPr>
              <w:t>248</w:t>
            </w:r>
          </w:p>
        </w:tc>
        <w:tc>
          <w:tcPr>
            <w:tcW w:w="36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r>
              <w:rPr>
                <w:rFonts w:hint="eastAsia"/>
                <w:color w:val="FF0000"/>
                <w:sz w:val="15"/>
                <w:szCs w:val="15"/>
                <w:lang w:val="en-US" w:eastAsia="zh-CN"/>
              </w:rPr>
              <w:t>88</w:t>
            </w:r>
          </w:p>
        </w:tc>
        <w:tc>
          <w:tcPr>
            <w:tcW w:w="31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p>
        </w:tc>
        <w:tc>
          <w:tcPr>
            <w:tcW w:w="27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p>
        </w:tc>
        <w:tc>
          <w:tcPr>
            <w:tcW w:w="349" w:type="pct"/>
            <w:tcBorders>
              <w:top w:val="nil"/>
              <w:left w:val="nil"/>
              <w:bottom w:val="single" w:color="auto" w:sz="4" w:space="0"/>
              <w:right w:val="single" w:color="auto" w:sz="4" w:space="0"/>
            </w:tcBorders>
            <w:shd w:val="clear" w:color="000000" w:fill="FFFF00"/>
            <w:vAlign w:val="center"/>
          </w:tcPr>
          <w:p>
            <w:pPr>
              <w:adjustRightInd w:val="0"/>
              <w:snapToGrid w:val="0"/>
              <w:rPr>
                <w:color w:val="FF0000"/>
                <w:sz w:val="15"/>
                <w:szCs w:val="15"/>
              </w:rPr>
            </w:pPr>
          </w:p>
        </w:tc>
        <w:tc>
          <w:tcPr>
            <w:tcW w:w="317" w:type="pct"/>
            <w:tcBorders>
              <w:top w:val="nil"/>
              <w:left w:val="nil"/>
              <w:bottom w:val="single" w:color="auto" w:sz="4" w:space="0"/>
              <w:right w:val="single" w:color="auto" w:sz="4" w:space="0"/>
            </w:tcBorders>
            <w:shd w:val="clear" w:color="000000" w:fill="FFFF00"/>
            <w:vAlign w:val="center"/>
          </w:tcPr>
          <w:p>
            <w:pPr>
              <w:adjustRightInd w:val="0"/>
              <w:snapToGrid w:val="0"/>
              <w:rPr>
                <w:color w:val="FF0000"/>
                <w:sz w:val="15"/>
                <w:szCs w:val="15"/>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color w:val="FF0000"/>
                <w:sz w:val="15"/>
                <w:szCs w:val="15"/>
              </w:rPr>
            </w:pPr>
          </w:p>
        </w:tc>
      </w:tr>
      <w:tr>
        <w:tblPrEx>
          <w:tblCellMar>
            <w:top w:w="0" w:type="dxa"/>
            <w:left w:w="108" w:type="dxa"/>
            <w:bottom w:w="0" w:type="dxa"/>
            <w:right w:w="108" w:type="dxa"/>
          </w:tblCellMar>
        </w:tblPrEx>
        <w:trPr>
          <w:trHeight w:val="285" w:hRule="atLeast"/>
        </w:trPr>
        <w:tc>
          <w:tcPr>
            <w:tcW w:w="375"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sz w:val="15"/>
                <w:szCs w:val="15"/>
              </w:rPr>
            </w:pPr>
            <w:r>
              <w:rPr>
                <w:rFonts w:hint="eastAsia"/>
                <w:sz w:val="15"/>
                <w:szCs w:val="15"/>
              </w:rPr>
              <w:t>公共选修课</w:t>
            </w: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1</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社会科学和自然科学</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人文</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1.5</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24</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16</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24</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C</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2</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人文科学和艺术领域</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人文</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1.5</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24</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16</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24</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C</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1286" w:type="pct"/>
            <w:gridSpan w:val="2"/>
            <w:tcBorders>
              <w:top w:val="single" w:color="auto" w:sz="4" w:space="0"/>
              <w:left w:val="nil"/>
              <w:bottom w:val="single" w:color="auto" w:sz="4" w:space="0"/>
              <w:right w:val="single" w:color="000000" w:sz="4" w:space="0"/>
            </w:tcBorders>
            <w:shd w:val="clear" w:color="000000" w:fill="FFFF00"/>
            <w:vAlign w:val="center"/>
          </w:tcPr>
          <w:p>
            <w:pPr>
              <w:adjustRightInd w:val="0"/>
              <w:snapToGrid w:val="0"/>
              <w:rPr>
                <w:sz w:val="15"/>
                <w:szCs w:val="15"/>
              </w:rPr>
            </w:pPr>
            <w:r>
              <w:rPr>
                <w:rFonts w:hint="eastAsia"/>
                <w:sz w:val="15"/>
                <w:szCs w:val="15"/>
              </w:rPr>
              <w:t>公共选修课小计</w:t>
            </w:r>
          </w:p>
        </w:tc>
        <w:tc>
          <w:tcPr>
            <w:tcW w:w="331"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p>
        </w:tc>
        <w:tc>
          <w:tcPr>
            <w:tcW w:w="293"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3</w:t>
            </w:r>
          </w:p>
        </w:tc>
        <w:tc>
          <w:tcPr>
            <w:tcW w:w="327"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48</w:t>
            </w:r>
          </w:p>
        </w:tc>
        <w:tc>
          <w:tcPr>
            <w:tcW w:w="363"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32</w:t>
            </w:r>
          </w:p>
        </w:tc>
        <w:tc>
          <w:tcPr>
            <w:tcW w:w="366"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16</w:t>
            </w:r>
          </w:p>
        </w:tc>
        <w:tc>
          <w:tcPr>
            <w:tcW w:w="313"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0</w:t>
            </w:r>
          </w:p>
        </w:tc>
        <w:tc>
          <w:tcPr>
            <w:tcW w:w="276"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24</w:t>
            </w:r>
          </w:p>
        </w:tc>
        <w:tc>
          <w:tcPr>
            <w:tcW w:w="349"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24</w:t>
            </w:r>
          </w:p>
        </w:tc>
        <w:tc>
          <w:tcPr>
            <w:tcW w:w="317"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p>
        </w:tc>
      </w:tr>
      <w:tr>
        <w:tblPrEx>
          <w:tblCellMar>
            <w:top w:w="0" w:type="dxa"/>
            <w:left w:w="108" w:type="dxa"/>
            <w:bottom w:w="0" w:type="dxa"/>
            <w:right w:w="108" w:type="dxa"/>
          </w:tblCellMar>
        </w:tblPrEx>
        <w:trPr>
          <w:trHeight w:val="285" w:hRule="atLeast"/>
        </w:trPr>
        <w:tc>
          <w:tcPr>
            <w:tcW w:w="375" w:type="pct"/>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专业基础课</w:t>
            </w: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1</w:t>
            </w:r>
          </w:p>
        </w:tc>
        <w:tc>
          <w:tcPr>
            <w:tcW w:w="1049"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sz w:val="15"/>
                <w:szCs w:val="15"/>
              </w:rPr>
            </w:pPr>
            <w:r>
              <w:rPr>
                <w:rFonts w:hint="eastAsia" w:ascii="宋体" w:hAnsi="宋体" w:eastAsia="宋体" w:cs="宋体"/>
                <w:i w:val="0"/>
                <w:color w:val="000000"/>
                <w:kern w:val="0"/>
                <w:sz w:val="15"/>
                <w:szCs w:val="15"/>
                <w:u w:val="none"/>
                <w:lang w:val="en-US" w:eastAsia="zh-CN" w:bidi="ar"/>
              </w:rPr>
              <w:t>微观经济学</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eastAsia="zh-CN"/>
              </w:rPr>
              <w:t>财管</w:t>
            </w:r>
            <w:r>
              <w:rPr>
                <w:rFonts w:hint="eastAsia"/>
                <w:sz w:val="15"/>
                <w:szCs w:val="15"/>
                <w:lang w:val="en-US" w:eastAsia="zh-CN"/>
              </w:rPr>
              <w:t xml:space="preserve"> </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3</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rPr>
              <w:t>4</w:t>
            </w:r>
            <w:r>
              <w:rPr>
                <w:rFonts w:hint="eastAsia"/>
                <w:sz w:val="15"/>
                <w:szCs w:val="15"/>
                <w:lang w:val="en-US" w:eastAsia="zh-CN"/>
              </w:rPr>
              <w:t>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K</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2</w:t>
            </w:r>
          </w:p>
        </w:tc>
        <w:tc>
          <w:tcPr>
            <w:tcW w:w="1049"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eastAsia="宋体"/>
                <w:sz w:val="15"/>
                <w:szCs w:val="15"/>
                <w:lang w:eastAsia="zh-CN"/>
              </w:rPr>
            </w:pPr>
            <w:r>
              <w:rPr>
                <w:rFonts w:hint="eastAsia"/>
                <w:sz w:val="15"/>
                <w:szCs w:val="15"/>
                <w:lang w:eastAsia="zh-CN"/>
              </w:rPr>
              <w:t>管理学</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lang w:eastAsia="zh-CN"/>
              </w:rPr>
              <w:t>财管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2</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26</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6</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K</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3</w:t>
            </w:r>
          </w:p>
        </w:tc>
        <w:tc>
          <w:tcPr>
            <w:tcW w:w="1049" w:type="pct"/>
            <w:tcBorders>
              <w:top w:val="nil"/>
              <w:left w:val="nil"/>
              <w:bottom w:val="nil"/>
              <w:right w:val="nil"/>
            </w:tcBorders>
            <w:shd w:val="clear" w:color="auto" w:fill="auto"/>
            <w:noWrap/>
            <w:vAlign w:val="center"/>
          </w:tcPr>
          <w:p>
            <w:pPr>
              <w:keepNext w:val="0"/>
              <w:keepLines w:val="0"/>
              <w:widowControl/>
              <w:suppressLineNumbers w:val="0"/>
              <w:jc w:val="both"/>
              <w:textAlignment w:val="center"/>
              <w:rPr>
                <w:sz w:val="15"/>
                <w:szCs w:val="15"/>
              </w:rPr>
            </w:pPr>
            <w:r>
              <w:rPr>
                <w:rFonts w:hint="eastAsia" w:cs="宋体"/>
                <w:i w:val="0"/>
                <w:color w:val="000000"/>
                <w:kern w:val="0"/>
                <w:sz w:val="15"/>
                <w:szCs w:val="15"/>
                <w:u w:val="none"/>
                <w:lang w:val="en-US" w:eastAsia="zh-CN" w:bidi="ar"/>
              </w:rPr>
              <w:t>金融</w:t>
            </w:r>
            <w:r>
              <w:rPr>
                <w:rFonts w:hint="eastAsia" w:ascii="宋体" w:hAnsi="宋体" w:eastAsia="宋体" w:cs="宋体"/>
                <w:i w:val="0"/>
                <w:color w:val="000000"/>
                <w:kern w:val="0"/>
                <w:sz w:val="15"/>
                <w:szCs w:val="15"/>
                <w:u w:val="none"/>
                <w:lang w:val="en-US" w:eastAsia="zh-CN" w:bidi="ar"/>
              </w:rPr>
              <w:t>学</w:t>
            </w:r>
          </w:p>
        </w:tc>
        <w:tc>
          <w:tcPr>
            <w:tcW w:w="331" w:type="pct"/>
            <w:tcBorders>
              <w:top w:val="nil"/>
              <w:left w:val="single" w:color="auto" w:sz="4" w:space="0"/>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lang w:eastAsia="zh-CN"/>
              </w:rPr>
              <w:t>财管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3</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16</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K</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w:t>
            </w:r>
          </w:p>
        </w:tc>
        <w:tc>
          <w:tcPr>
            <w:tcW w:w="1049" w:type="pc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sz w:val="15"/>
                <w:szCs w:val="15"/>
              </w:rPr>
            </w:pPr>
            <w:r>
              <w:rPr>
                <w:rFonts w:hint="eastAsia" w:ascii="宋体" w:hAnsi="宋体" w:eastAsia="宋体" w:cs="宋体"/>
                <w:i w:val="0"/>
                <w:color w:val="000000"/>
                <w:kern w:val="0"/>
                <w:sz w:val="15"/>
                <w:szCs w:val="15"/>
                <w:u w:val="none"/>
                <w:lang w:val="en-US" w:eastAsia="zh-CN" w:bidi="ar"/>
              </w:rPr>
              <w:t>市场营销学</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lang w:eastAsia="zh-CN"/>
              </w:rPr>
              <w:t>工管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2</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26</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6</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0</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C</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sz w:val="15"/>
                <w:szCs w:val="15"/>
                <w:lang w:val="en-US" w:eastAsia="zh-CN"/>
              </w:rPr>
            </w:pPr>
            <w:r>
              <w:rPr>
                <w:rFonts w:hint="eastAsia"/>
                <w:sz w:val="15"/>
                <w:szCs w:val="15"/>
                <w:lang w:val="en-US" w:eastAsia="zh-CN"/>
              </w:rPr>
              <w:t>5</w:t>
            </w:r>
          </w:p>
        </w:tc>
        <w:tc>
          <w:tcPr>
            <w:tcW w:w="1049" w:type="pct"/>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olor w:val="FF0000"/>
                <w:sz w:val="15"/>
                <w:szCs w:val="15"/>
                <w:lang w:val="en-US" w:eastAsia="zh-CN"/>
              </w:rPr>
              <w:t>财经英语阅读</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olor w:val="FF0000"/>
                <w:sz w:val="15"/>
                <w:szCs w:val="15"/>
                <w:lang w:eastAsia="zh-CN"/>
              </w:rPr>
              <w:t>国际</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3</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48</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30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s="Times New Roman"/>
                <w:color w:val="FF0000"/>
                <w:kern w:val="2"/>
                <w:sz w:val="15"/>
                <w:szCs w:val="15"/>
                <w:lang w:val="en-US" w:eastAsia="zh-CN" w:bidi="ar-SA"/>
              </w:rPr>
              <w:t>18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olor w:val="FF0000"/>
                <w:sz w:val="15"/>
                <w:szCs w:val="15"/>
                <w:lang w:val="en-US" w:eastAsia="zh-CN"/>
              </w:rPr>
              <w:t>3</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color w:val="FF0000"/>
                <w:kern w:val="2"/>
                <w:sz w:val="15"/>
                <w:szCs w:val="15"/>
                <w:lang w:val="en-US" w:eastAsia="zh-CN" w:bidi="ar-SA"/>
              </w:rPr>
            </w:pPr>
            <w:r>
              <w:rPr>
                <w:rFonts w:hint="eastAsia"/>
                <w:color w:val="FF0000"/>
                <w:sz w:val="15"/>
                <w:szCs w:val="15"/>
                <w:lang w:val="en-US" w:eastAsia="zh-CN"/>
              </w:rPr>
              <w:t>C</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1286" w:type="pct"/>
            <w:gridSpan w:val="2"/>
            <w:tcBorders>
              <w:top w:val="single" w:color="auto" w:sz="4" w:space="0"/>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专业基础课小计</w:t>
            </w:r>
          </w:p>
        </w:tc>
        <w:tc>
          <w:tcPr>
            <w:tcW w:w="331"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p>
        </w:tc>
        <w:tc>
          <w:tcPr>
            <w:tcW w:w="293" w:type="pct"/>
            <w:tcBorders>
              <w:top w:val="nil"/>
              <w:left w:val="nil"/>
              <w:bottom w:val="single" w:color="auto" w:sz="4" w:space="0"/>
              <w:right w:val="single" w:color="auto" w:sz="4" w:space="0"/>
            </w:tcBorders>
            <w:shd w:val="clear" w:color="000000" w:fill="FFFF00"/>
            <w:vAlign w:val="center"/>
          </w:tcPr>
          <w:p>
            <w:pPr>
              <w:adjustRightInd w:val="0"/>
              <w:snapToGrid w:val="0"/>
              <w:rPr>
                <w:rFonts w:hint="eastAsia" w:eastAsia="宋体"/>
                <w:color w:val="FF0000"/>
                <w:sz w:val="15"/>
                <w:szCs w:val="15"/>
                <w:lang w:val="en-US" w:eastAsia="zh-CN"/>
              </w:rPr>
            </w:pPr>
            <w:r>
              <w:rPr>
                <w:rFonts w:hint="eastAsia"/>
                <w:color w:val="FF0000"/>
                <w:sz w:val="15"/>
                <w:szCs w:val="15"/>
              </w:rPr>
              <w:t>1</w:t>
            </w:r>
            <w:r>
              <w:rPr>
                <w:rFonts w:hint="eastAsia"/>
                <w:color w:val="FF0000"/>
                <w:sz w:val="15"/>
                <w:szCs w:val="15"/>
                <w:lang w:val="en-US" w:eastAsia="zh-CN"/>
              </w:rPr>
              <w:t>3</w:t>
            </w:r>
          </w:p>
        </w:tc>
        <w:tc>
          <w:tcPr>
            <w:tcW w:w="327"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r>
              <w:rPr>
                <w:rFonts w:hint="eastAsia"/>
                <w:color w:val="FF0000"/>
                <w:sz w:val="15"/>
                <w:szCs w:val="15"/>
                <w:lang w:val="en-US" w:eastAsia="zh-CN"/>
              </w:rPr>
              <w:t>148</w:t>
            </w:r>
          </w:p>
        </w:tc>
        <w:tc>
          <w:tcPr>
            <w:tcW w:w="36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r>
              <w:rPr>
                <w:rFonts w:hint="eastAsia"/>
                <w:color w:val="FF0000"/>
                <w:sz w:val="15"/>
                <w:szCs w:val="15"/>
              </w:rPr>
              <w:t>1</w:t>
            </w:r>
            <w:r>
              <w:rPr>
                <w:rFonts w:hint="eastAsia"/>
                <w:color w:val="FF0000"/>
                <w:sz w:val="15"/>
                <w:szCs w:val="15"/>
                <w:lang w:val="en-US" w:eastAsia="zh-CN"/>
              </w:rPr>
              <w:t>54</w:t>
            </w:r>
          </w:p>
        </w:tc>
        <w:tc>
          <w:tcPr>
            <w:tcW w:w="36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r>
              <w:rPr>
                <w:rFonts w:hint="eastAsia"/>
                <w:color w:val="FF0000"/>
                <w:sz w:val="15"/>
                <w:szCs w:val="15"/>
                <w:lang w:val="en-US" w:eastAsia="zh-CN"/>
              </w:rPr>
              <w:t>54</w:t>
            </w:r>
          </w:p>
        </w:tc>
        <w:tc>
          <w:tcPr>
            <w:tcW w:w="31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p>
        </w:tc>
        <w:tc>
          <w:tcPr>
            <w:tcW w:w="27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p>
        </w:tc>
        <w:tc>
          <w:tcPr>
            <w:tcW w:w="349"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p>
        </w:tc>
        <w:tc>
          <w:tcPr>
            <w:tcW w:w="317" w:type="pct"/>
            <w:tcBorders>
              <w:top w:val="nil"/>
              <w:left w:val="nil"/>
              <w:bottom w:val="single" w:color="auto" w:sz="4" w:space="0"/>
              <w:right w:val="single" w:color="auto" w:sz="4" w:space="0"/>
            </w:tcBorders>
            <w:shd w:val="clear" w:color="000000" w:fill="FFFF00"/>
            <w:vAlign w:val="center"/>
          </w:tcPr>
          <w:p>
            <w:pPr>
              <w:adjustRightInd w:val="0"/>
              <w:snapToGrid w:val="0"/>
              <w:rPr>
                <w:color w:val="FF0000"/>
                <w:sz w:val="15"/>
                <w:szCs w:val="15"/>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color w:val="FF0000"/>
                <w:sz w:val="15"/>
                <w:szCs w:val="15"/>
              </w:rPr>
            </w:pPr>
          </w:p>
        </w:tc>
      </w:tr>
      <w:tr>
        <w:tblPrEx>
          <w:tblCellMar>
            <w:top w:w="0" w:type="dxa"/>
            <w:left w:w="108" w:type="dxa"/>
            <w:bottom w:w="0" w:type="dxa"/>
            <w:right w:w="108" w:type="dxa"/>
          </w:tblCellMar>
        </w:tblPrEx>
        <w:trPr>
          <w:trHeight w:val="285" w:hRule="atLeast"/>
        </w:trPr>
        <w:tc>
          <w:tcPr>
            <w:tcW w:w="375" w:type="pct"/>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专业核心课</w:t>
            </w: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1</w:t>
            </w:r>
          </w:p>
        </w:tc>
        <w:tc>
          <w:tcPr>
            <w:tcW w:w="1049" w:type="pct"/>
            <w:tcBorders>
              <w:top w:val="nil"/>
              <w:left w:val="nil"/>
              <w:bottom w:val="single" w:color="auto" w:sz="4" w:space="0"/>
              <w:right w:val="single" w:color="auto" w:sz="4" w:space="0"/>
            </w:tcBorders>
            <w:shd w:val="clear" w:color="auto" w:fill="auto"/>
            <w:noWrap/>
            <w:vAlign w:val="center"/>
          </w:tcPr>
          <w:p>
            <w:pPr>
              <w:adjustRightInd w:val="0"/>
              <w:snapToGrid w:val="0"/>
              <w:rPr>
                <w:rFonts w:hint="eastAsia" w:eastAsia="宋体"/>
                <w:sz w:val="15"/>
                <w:szCs w:val="15"/>
                <w:lang w:eastAsia="zh-CN"/>
              </w:rPr>
            </w:pPr>
            <w:r>
              <w:rPr>
                <w:rFonts w:hint="eastAsia"/>
                <w:sz w:val="15"/>
                <w:szCs w:val="15"/>
                <w:lang w:eastAsia="zh-CN"/>
              </w:rPr>
              <w:t>高级会计实务</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lang w:eastAsia="zh-CN"/>
              </w:rPr>
              <w:t>财管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3</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K</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2</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lang w:eastAsia="zh-CN"/>
              </w:rPr>
              <w:t>高级财务管理</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lang w:eastAsia="zh-CN"/>
              </w:rPr>
              <w:t>财管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3</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K</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lang w:eastAsia="zh-CN"/>
              </w:rPr>
              <w:t>审计学</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lang w:eastAsia="zh-CN"/>
              </w:rPr>
              <w:t>财管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3</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0</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0</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K</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sz w:val="15"/>
                <w:szCs w:val="15"/>
                <w:lang w:val="en-US" w:eastAsia="zh-CN"/>
              </w:rPr>
            </w:pPr>
            <w:r>
              <w:rPr>
                <w:rFonts w:hint="eastAsia"/>
                <w:sz w:val="15"/>
                <w:szCs w:val="15"/>
                <w:lang w:val="en-US" w:eastAsia="zh-CN"/>
              </w:rPr>
              <w:t>4</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sz w:val="15"/>
                <w:szCs w:val="15"/>
                <w:lang w:eastAsia="zh-CN"/>
              </w:rPr>
            </w:pPr>
            <w:r>
              <w:rPr>
                <w:rFonts w:hint="eastAsia"/>
                <w:sz w:val="15"/>
                <w:szCs w:val="15"/>
                <w:lang w:eastAsia="zh-CN"/>
              </w:rPr>
              <w:t>专业英语</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sz w:val="15"/>
                <w:szCs w:val="15"/>
                <w:lang w:eastAsia="zh-CN"/>
              </w:rPr>
            </w:pPr>
            <w:r>
              <w:rPr>
                <w:rFonts w:hint="eastAsia"/>
                <w:sz w:val="15"/>
                <w:szCs w:val="15"/>
                <w:lang w:eastAsia="zh-CN"/>
              </w:rPr>
              <w:t>财管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sz w:val="15"/>
                <w:szCs w:val="15"/>
                <w:lang w:val="en-US" w:eastAsia="zh-CN"/>
              </w:rPr>
            </w:pPr>
            <w:r>
              <w:rPr>
                <w:rFonts w:hint="eastAsia"/>
                <w:sz w:val="15"/>
                <w:szCs w:val="15"/>
                <w:lang w:val="en-US" w:eastAsia="zh-CN"/>
              </w:rPr>
              <w:t>3</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sz w:val="15"/>
                <w:szCs w:val="15"/>
                <w:lang w:val="en-US" w:eastAsia="zh-CN"/>
              </w:rPr>
            </w:pPr>
            <w:r>
              <w:rPr>
                <w:rFonts w:hint="eastAsia"/>
                <w:sz w:val="15"/>
                <w:szCs w:val="15"/>
                <w:lang w:val="en-US" w:eastAsia="zh-CN"/>
              </w:rPr>
              <w:t>48</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sz w:val="15"/>
                <w:szCs w:val="15"/>
                <w:lang w:val="en-US" w:eastAsia="zh-CN"/>
              </w:rPr>
            </w:pPr>
            <w:r>
              <w:rPr>
                <w:rFonts w:hint="eastAsia"/>
                <w:sz w:val="15"/>
                <w:szCs w:val="15"/>
                <w:lang w:val="en-US" w:eastAsia="zh-CN"/>
              </w:rPr>
              <w:t>40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sz w:val="15"/>
                <w:szCs w:val="15"/>
                <w:lang w:val="en-US" w:eastAsia="zh-CN"/>
              </w:rPr>
            </w:pPr>
            <w:r>
              <w:rPr>
                <w:rFonts w:hint="eastAsia"/>
                <w:sz w:val="15"/>
                <w:szCs w:val="15"/>
                <w:lang w:val="en-US" w:eastAsia="zh-CN"/>
              </w:rPr>
              <w:t>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0</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sz w:val="15"/>
                <w:szCs w:val="15"/>
                <w:lang w:val="en-US" w:eastAsia="zh-CN"/>
              </w:rPr>
            </w:pPr>
            <w:r>
              <w:rPr>
                <w:rFonts w:hint="eastAsia"/>
                <w:sz w:val="15"/>
                <w:szCs w:val="15"/>
                <w:lang w:val="en-US" w:eastAsia="zh-CN"/>
              </w:rPr>
              <w:t>48</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K</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1286" w:type="pct"/>
            <w:gridSpan w:val="2"/>
            <w:tcBorders>
              <w:top w:val="single" w:color="auto" w:sz="4" w:space="0"/>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专业核心课小计</w:t>
            </w:r>
          </w:p>
        </w:tc>
        <w:tc>
          <w:tcPr>
            <w:tcW w:w="331"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p>
        </w:tc>
        <w:tc>
          <w:tcPr>
            <w:tcW w:w="293" w:type="pct"/>
            <w:tcBorders>
              <w:top w:val="nil"/>
              <w:left w:val="nil"/>
              <w:bottom w:val="single" w:color="auto" w:sz="4" w:space="0"/>
              <w:right w:val="single" w:color="auto" w:sz="4" w:space="0"/>
            </w:tcBorders>
            <w:shd w:val="clear" w:color="000000" w:fill="FFFF00"/>
            <w:vAlign w:val="center"/>
          </w:tcPr>
          <w:p>
            <w:pPr>
              <w:adjustRightInd w:val="0"/>
              <w:snapToGrid w:val="0"/>
              <w:rPr>
                <w:rFonts w:hint="eastAsia" w:eastAsia="宋体"/>
                <w:sz w:val="15"/>
                <w:szCs w:val="15"/>
                <w:lang w:val="en-US" w:eastAsia="zh-CN"/>
              </w:rPr>
            </w:pPr>
            <w:r>
              <w:rPr>
                <w:rFonts w:hint="eastAsia"/>
                <w:sz w:val="15"/>
                <w:szCs w:val="15"/>
              </w:rPr>
              <w:t>1</w:t>
            </w:r>
            <w:r>
              <w:rPr>
                <w:rFonts w:hint="eastAsia"/>
                <w:sz w:val="15"/>
                <w:szCs w:val="15"/>
                <w:lang w:val="en-US" w:eastAsia="zh-CN"/>
              </w:rPr>
              <w:t>2</w:t>
            </w:r>
          </w:p>
        </w:tc>
        <w:tc>
          <w:tcPr>
            <w:tcW w:w="327"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192</w:t>
            </w:r>
          </w:p>
        </w:tc>
        <w:tc>
          <w:tcPr>
            <w:tcW w:w="36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160</w:t>
            </w:r>
          </w:p>
        </w:tc>
        <w:tc>
          <w:tcPr>
            <w:tcW w:w="36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31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96</w:t>
            </w:r>
          </w:p>
        </w:tc>
        <w:tc>
          <w:tcPr>
            <w:tcW w:w="27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49"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17"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p>
        </w:tc>
      </w:tr>
      <w:tr>
        <w:tblPrEx>
          <w:tblCellMar>
            <w:top w:w="0" w:type="dxa"/>
            <w:left w:w="108" w:type="dxa"/>
            <w:bottom w:w="0" w:type="dxa"/>
            <w:right w:w="108" w:type="dxa"/>
          </w:tblCellMar>
        </w:tblPrEx>
        <w:trPr>
          <w:trHeight w:val="285" w:hRule="atLeast"/>
        </w:trPr>
        <w:tc>
          <w:tcPr>
            <w:tcW w:w="375" w:type="pct"/>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专业拓展课</w:t>
            </w:r>
          </w:p>
        </w:tc>
        <w:tc>
          <w:tcPr>
            <w:tcW w:w="236"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sz w:val="15"/>
                <w:szCs w:val="15"/>
              </w:rPr>
            </w:pPr>
            <w:r>
              <w:rPr>
                <w:rFonts w:hint="eastAsia"/>
                <w:sz w:val="15"/>
                <w:szCs w:val="15"/>
              </w:rPr>
              <w:t>1</w:t>
            </w:r>
          </w:p>
        </w:tc>
        <w:tc>
          <w:tcPr>
            <w:tcW w:w="1049" w:type="pct"/>
            <w:tcBorders>
              <w:top w:val="nil"/>
              <w:left w:val="nil"/>
              <w:bottom w:val="single" w:color="auto" w:sz="4" w:space="0"/>
              <w:right w:val="single" w:color="auto" w:sz="4" w:space="0"/>
            </w:tcBorders>
            <w:shd w:val="clear" w:color="auto" w:fill="auto"/>
            <w:noWrap/>
            <w:vAlign w:val="center"/>
          </w:tcPr>
          <w:p>
            <w:pPr>
              <w:adjustRightInd w:val="0"/>
              <w:snapToGrid w:val="0"/>
              <w:rPr>
                <w:rFonts w:hint="eastAsia" w:eastAsia="宋体"/>
                <w:sz w:val="15"/>
                <w:szCs w:val="15"/>
                <w:lang w:eastAsia="zh-CN"/>
              </w:rPr>
            </w:pPr>
            <w:r>
              <w:rPr>
                <w:rFonts w:hint="eastAsia"/>
                <w:sz w:val="15"/>
                <w:szCs w:val="15"/>
                <w:lang w:eastAsia="zh-CN"/>
              </w:rPr>
              <w:t>管理心理学</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lang w:eastAsia="zh-CN"/>
              </w:rPr>
              <w:t>财管</w:t>
            </w:r>
          </w:p>
        </w:tc>
        <w:tc>
          <w:tcPr>
            <w:tcW w:w="293"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2</w:t>
            </w:r>
          </w:p>
        </w:tc>
        <w:tc>
          <w:tcPr>
            <w:tcW w:w="327"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363"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26</w:t>
            </w:r>
          </w:p>
        </w:tc>
        <w:tc>
          <w:tcPr>
            <w:tcW w:w="366"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6</w:t>
            </w:r>
          </w:p>
        </w:tc>
        <w:tc>
          <w:tcPr>
            <w:tcW w:w="313"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276"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349"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317"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400" w:type="pct"/>
            <w:vMerge w:val="restart"/>
            <w:tcBorders>
              <w:top w:val="nil"/>
              <w:left w:val="nil"/>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H(二选一）</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lang w:eastAsia="zh-CN"/>
              </w:rPr>
              <w:t>投资学</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lang w:eastAsia="zh-CN"/>
              </w:rPr>
              <w:t>财管</w:t>
            </w:r>
          </w:p>
        </w:tc>
        <w:tc>
          <w:tcPr>
            <w:tcW w:w="293"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27"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63"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66"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13"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276"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49"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17"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400" w:type="pct"/>
            <w:vMerge w:val="continue"/>
            <w:tcBorders>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sz w:val="15"/>
                <w:szCs w:val="15"/>
              </w:rPr>
            </w:pPr>
            <w:r>
              <w:rPr>
                <w:rFonts w:hint="eastAsia"/>
                <w:sz w:val="15"/>
                <w:szCs w:val="15"/>
              </w:rPr>
              <w:t>2</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lang w:eastAsia="zh-CN"/>
              </w:rPr>
              <w:t>财务管理案例分析</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lang w:eastAsia="zh-CN"/>
              </w:rPr>
              <w:t>财管</w:t>
            </w:r>
          </w:p>
        </w:tc>
        <w:tc>
          <w:tcPr>
            <w:tcW w:w="293"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3</w:t>
            </w:r>
          </w:p>
        </w:tc>
        <w:tc>
          <w:tcPr>
            <w:tcW w:w="327"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63"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30</w:t>
            </w:r>
          </w:p>
        </w:tc>
        <w:tc>
          <w:tcPr>
            <w:tcW w:w="366"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18</w:t>
            </w:r>
          </w:p>
        </w:tc>
        <w:tc>
          <w:tcPr>
            <w:tcW w:w="313"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276"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49"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sz w:val="15"/>
                <w:szCs w:val="15"/>
              </w:rPr>
            </w:pPr>
            <w:r>
              <w:rPr>
                <w:rFonts w:hint="eastAsia"/>
                <w:sz w:val="15"/>
                <w:szCs w:val="15"/>
              </w:rPr>
              <w:t>0</w:t>
            </w:r>
          </w:p>
        </w:tc>
        <w:tc>
          <w:tcPr>
            <w:tcW w:w="317" w:type="pct"/>
            <w:vMerge w:val="restart"/>
            <w:tcBorders>
              <w:top w:val="nil"/>
              <w:left w:val="single" w:color="auto" w:sz="4" w:space="0"/>
              <w:bottom w:val="single" w:color="000000"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400" w:type="pct"/>
            <w:vMerge w:val="restart"/>
            <w:tcBorders>
              <w:top w:val="nil"/>
              <w:left w:val="nil"/>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H(二选一）</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lang w:eastAsia="zh-CN"/>
              </w:rPr>
              <w:t>证券投资分析</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lang w:eastAsia="zh-CN"/>
              </w:rPr>
              <w:t>财管</w:t>
            </w:r>
          </w:p>
        </w:tc>
        <w:tc>
          <w:tcPr>
            <w:tcW w:w="293"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27"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63"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66"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13"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276"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49"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317" w:type="pct"/>
            <w:vMerge w:val="continue"/>
            <w:tcBorders>
              <w:top w:val="nil"/>
              <w:left w:val="single" w:color="auto" w:sz="4" w:space="0"/>
              <w:bottom w:val="single" w:color="000000" w:sz="4" w:space="0"/>
              <w:right w:val="single" w:color="auto" w:sz="4" w:space="0"/>
            </w:tcBorders>
            <w:vAlign w:val="center"/>
          </w:tcPr>
          <w:p>
            <w:pPr>
              <w:adjustRightInd w:val="0"/>
              <w:snapToGrid w:val="0"/>
              <w:rPr>
                <w:sz w:val="15"/>
                <w:szCs w:val="15"/>
              </w:rPr>
            </w:pPr>
          </w:p>
        </w:tc>
        <w:tc>
          <w:tcPr>
            <w:tcW w:w="400" w:type="pct"/>
            <w:vMerge w:val="continue"/>
            <w:tcBorders>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vMerge w:val="restart"/>
            <w:tcBorders>
              <w:top w:val="nil"/>
              <w:left w:val="single" w:color="auto" w:sz="4" w:space="0"/>
              <w:right w:val="single" w:color="auto" w:sz="4" w:space="0"/>
            </w:tcBorders>
            <w:vAlign w:val="center"/>
          </w:tcPr>
          <w:p>
            <w:pPr>
              <w:adjustRightInd w:val="0"/>
              <w:snapToGrid w:val="0"/>
              <w:rPr>
                <w:rFonts w:hint="eastAsia" w:eastAsia="宋体"/>
                <w:sz w:val="15"/>
                <w:szCs w:val="15"/>
                <w:lang w:val="en-US" w:eastAsia="zh-CN"/>
              </w:rPr>
            </w:pPr>
            <w:r>
              <w:rPr>
                <w:rFonts w:hint="eastAsia"/>
                <w:sz w:val="15"/>
                <w:szCs w:val="15"/>
                <w:lang w:val="en-US" w:eastAsia="zh-CN"/>
              </w:rPr>
              <w:t>3</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lang w:eastAsia="zh-CN"/>
              </w:rPr>
              <w:t>国际金融</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lang w:eastAsia="zh-CN"/>
              </w:rPr>
              <w:t>财管</w:t>
            </w:r>
          </w:p>
        </w:tc>
        <w:tc>
          <w:tcPr>
            <w:tcW w:w="293" w:type="pct"/>
            <w:vMerge w:val="restart"/>
            <w:tcBorders>
              <w:top w:val="nil"/>
              <w:left w:val="single" w:color="auto" w:sz="4" w:space="0"/>
              <w:right w:val="single" w:color="auto" w:sz="4" w:space="0"/>
            </w:tcBorders>
            <w:vAlign w:val="center"/>
          </w:tcPr>
          <w:p>
            <w:pPr>
              <w:adjustRightInd w:val="0"/>
              <w:snapToGrid w:val="0"/>
              <w:rPr>
                <w:rFonts w:hint="eastAsia" w:eastAsia="宋体"/>
                <w:sz w:val="15"/>
                <w:szCs w:val="15"/>
                <w:lang w:val="en-US" w:eastAsia="zh-CN"/>
              </w:rPr>
            </w:pPr>
            <w:r>
              <w:rPr>
                <w:rFonts w:hint="eastAsia"/>
                <w:sz w:val="15"/>
                <w:szCs w:val="15"/>
                <w:lang w:val="en-US" w:eastAsia="zh-CN"/>
              </w:rPr>
              <w:t>3</w:t>
            </w:r>
          </w:p>
        </w:tc>
        <w:tc>
          <w:tcPr>
            <w:tcW w:w="327" w:type="pct"/>
            <w:vMerge w:val="restart"/>
            <w:tcBorders>
              <w:top w:val="nil"/>
              <w:left w:val="single" w:color="auto" w:sz="4" w:space="0"/>
              <w:right w:val="single" w:color="auto" w:sz="4" w:space="0"/>
            </w:tcBorders>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63" w:type="pct"/>
            <w:vMerge w:val="restart"/>
            <w:tcBorders>
              <w:top w:val="nil"/>
              <w:left w:val="single" w:color="auto" w:sz="4" w:space="0"/>
              <w:right w:val="single" w:color="auto" w:sz="4" w:space="0"/>
            </w:tcBorders>
            <w:vAlign w:val="center"/>
          </w:tcPr>
          <w:p>
            <w:pPr>
              <w:adjustRightInd w:val="0"/>
              <w:snapToGrid w:val="0"/>
              <w:rPr>
                <w:rFonts w:hint="default" w:eastAsia="宋体"/>
                <w:sz w:val="15"/>
                <w:szCs w:val="15"/>
                <w:lang w:val="en-US" w:eastAsia="zh-CN"/>
              </w:rPr>
            </w:pPr>
            <w:r>
              <w:rPr>
                <w:rFonts w:hint="eastAsia"/>
                <w:sz w:val="15"/>
                <w:szCs w:val="15"/>
                <w:lang w:val="en-US" w:eastAsia="zh-CN"/>
              </w:rPr>
              <w:t>30</w:t>
            </w:r>
          </w:p>
        </w:tc>
        <w:tc>
          <w:tcPr>
            <w:tcW w:w="366" w:type="pct"/>
            <w:vMerge w:val="restart"/>
            <w:tcBorders>
              <w:top w:val="nil"/>
              <w:left w:val="single" w:color="auto" w:sz="4" w:space="0"/>
              <w:right w:val="single" w:color="auto" w:sz="4" w:space="0"/>
            </w:tcBorders>
            <w:vAlign w:val="center"/>
          </w:tcPr>
          <w:p>
            <w:pPr>
              <w:adjustRightInd w:val="0"/>
              <w:snapToGrid w:val="0"/>
              <w:rPr>
                <w:rFonts w:hint="default" w:eastAsia="宋体"/>
                <w:sz w:val="15"/>
                <w:szCs w:val="15"/>
                <w:lang w:val="en-US" w:eastAsia="zh-CN"/>
              </w:rPr>
            </w:pPr>
            <w:r>
              <w:rPr>
                <w:rFonts w:hint="eastAsia"/>
                <w:sz w:val="15"/>
                <w:szCs w:val="15"/>
                <w:lang w:val="en-US" w:eastAsia="zh-CN"/>
              </w:rPr>
              <w:t>18</w:t>
            </w:r>
          </w:p>
        </w:tc>
        <w:tc>
          <w:tcPr>
            <w:tcW w:w="313" w:type="pct"/>
            <w:vMerge w:val="restart"/>
            <w:tcBorders>
              <w:top w:val="nil"/>
              <w:left w:val="single" w:color="auto" w:sz="4" w:space="0"/>
              <w:right w:val="single" w:color="auto" w:sz="4" w:space="0"/>
            </w:tcBorders>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276" w:type="pct"/>
            <w:vMerge w:val="restart"/>
            <w:tcBorders>
              <w:top w:val="nil"/>
              <w:left w:val="single" w:color="auto" w:sz="4" w:space="0"/>
              <w:right w:val="single" w:color="auto" w:sz="4" w:space="0"/>
            </w:tcBorders>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349" w:type="pct"/>
            <w:vMerge w:val="restart"/>
            <w:tcBorders>
              <w:top w:val="nil"/>
              <w:left w:val="single" w:color="auto" w:sz="4" w:space="0"/>
              <w:right w:val="single" w:color="auto" w:sz="4" w:space="0"/>
            </w:tcBorders>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17" w:type="pct"/>
            <w:vMerge w:val="restart"/>
            <w:tcBorders>
              <w:top w:val="nil"/>
              <w:left w:val="single" w:color="auto" w:sz="4" w:space="0"/>
              <w:right w:val="single" w:color="auto" w:sz="4" w:space="0"/>
            </w:tcBorders>
            <w:vAlign w:val="center"/>
          </w:tcPr>
          <w:p>
            <w:pPr>
              <w:adjustRightInd w:val="0"/>
              <w:snapToGrid w:val="0"/>
              <w:rPr>
                <w:rFonts w:hint="eastAsia" w:eastAsia="宋体"/>
                <w:sz w:val="15"/>
                <w:szCs w:val="15"/>
                <w:lang w:val="en-US" w:eastAsia="zh-CN"/>
              </w:rPr>
            </w:pPr>
            <w:r>
              <w:rPr>
                <w:rFonts w:hint="eastAsia"/>
                <w:sz w:val="15"/>
                <w:szCs w:val="15"/>
                <w:lang w:val="en-US" w:eastAsia="zh-CN"/>
              </w:rPr>
              <w:t>0</w:t>
            </w:r>
          </w:p>
        </w:tc>
        <w:tc>
          <w:tcPr>
            <w:tcW w:w="400" w:type="pct"/>
            <w:vMerge w:val="restart"/>
            <w:tcBorders>
              <w:top w:val="nil"/>
              <w:left w:val="nil"/>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H(二选一）</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vMerge w:val="continue"/>
            <w:tcBorders>
              <w:left w:val="single" w:color="auto" w:sz="4" w:space="0"/>
              <w:bottom w:val="single" w:color="000000" w:sz="4" w:space="0"/>
              <w:right w:val="single" w:color="auto" w:sz="4" w:space="0"/>
            </w:tcBorders>
            <w:vAlign w:val="center"/>
          </w:tcPr>
          <w:p>
            <w:pPr>
              <w:adjustRightInd w:val="0"/>
              <w:snapToGrid w:val="0"/>
              <w:rPr>
                <w:sz w:val="15"/>
                <w:szCs w:val="15"/>
              </w:rPr>
            </w:pP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lang w:eastAsia="zh-CN"/>
              </w:rPr>
              <w:t>税务筹划</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lang w:eastAsia="zh-CN"/>
              </w:rPr>
              <w:t>财管</w:t>
            </w:r>
          </w:p>
        </w:tc>
        <w:tc>
          <w:tcPr>
            <w:tcW w:w="293" w:type="pct"/>
            <w:vMerge w:val="continue"/>
            <w:tcBorders>
              <w:left w:val="single" w:color="auto" w:sz="4" w:space="0"/>
              <w:bottom w:val="single" w:color="000000" w:sz="4" w:space="0"/>
              <w:right w:val="single" w:color="auto" w:sz="4" w:space="0"/>
            </w:tcBorders>
            <w:vAlign w:val="center"/>
          </w:tcPr>
          <w:p>
            <w:pPr>
              <w:adjustRightInd w:val="0"/>
              <w:snapToGrid w:val="0"/>
              <w:rPr>
                <w:sz w:val="15"/>
                <w:szCs w:val="15"/>
              </w:rPr>
            </w:pPr>
          </w:p>
        </w:tc>
        <w:tc>
          <w:tcPr>
            <w:tcW w:w="327" w:type="pct"/>
            <w:vMerge w:val="continue"/>
            <w:tcBorders>
              <w:left w:val="single" w:color="auto" w:sz="4" w:space="0"/>
              <w:bottom w:val="single" w:color="000000" w:sz="4" w:space="0"/>
              <w:right w:val="single" w:color="auto" w:sz="4" w:space="0"/>
            </w:tcBorders>
            <w:vAlign w:val="center"/>
          </w:tcPr>
          <w:p>
            <w:pPr>
              <w:adjustRightInd w:val="0"/>
              <w:snapToGrid w:val="0"/>
              <w:rPr>
                <w:sz w:val="15"/>
                <w:szCs w:val="15"/>
              </w:rPr>
            </w:pPr>
          </w:p>
        </w:tc>
        <w:tc>
          <w:tcPr>
            <w:tcW w:w="363" w:type="pct"/>
            <w:vMerge w:val="continue"/>
            <w:tcBorders>
              <w:left w:val="single" w:color="auto" w:sz="4" w:space="0"/>
              <w:bottom w:val="single" w:color="000000" w:sz="4" w:space="0"/>
              <w:right w:val="single" w:color="auto" w:sz="4" w:space="0"/>
            </w:tcBorders>
            <w:vAlign w:val="center"/>
          </w:tcPr>
          <w:p>
            <w:pPr>
              <w:adjustRightInd w:val="0"/>
              <w:snapToGrid w:val="0"/>
              <w:rPr>
                <w:sz w:val="15"/>
                <w:szCs w:val="15"/>
              </w:rPr>
            </w:pPr>
          </w:p>
        </w:tc>
        <w:tc>
          <w:tcPr>
            <w:tcW w:w="366" w:type="pct"/>
            <w:vMerge w:val="continue"/>
            <w:tcBorders>
              <w:left w:val="single" w:color="auto" w:sz="4" w:space="0"/>
              <w:bottom w:val="single" w:color="000000" w:sz="4" w:space="0"/>
              <w:right w:val="single" w:color="auto" w:sz="4" w:space="0"/>
            </w:tcBorders>
            <w:vAlign w:val="center"/>
          </w:tcPr>
          <w:p>
            <w:pPr>
              <w:adjustRightInd w:val="0"/>
              <w:snapToGrid w:val="0"/>
              <w:rPr>
                <w:sz w:val="15"/>
                <w:szCs w:val="15"/>
              </w:rPr>
            </w:pPr>
          </w:p>
        </w:tc>
        <w:tc>
          <w:tcPr>
            <w:tcW w:w="313" w:type="pct"/>
            <w:vMerge w:val="continue"/>
            <w:tcBorders>
              <w:left w:val="single" w:color="auto" w:sz="4" w:space="0"/>
              <w:bottom w:val="single" w:color="000000" w:sz="4" w:space="0"/>
              <w:right w:val="single" w:color="auto" w:sz="4" w:space="0"/>
            </w:tcBorders>
            <w:vAlign w:val="center"/>
          </w:tcPr>
          <w:p>
            <w:pPr>
              <w:adjustRightInd w:val="0"/>
              <w:snapToGrid w:val="0"/>
              <w:rPr>
                <w:sz w:val="15"/>
                <w:szCs w:val="15"/>
              </w:rPr>
            </w:pPr>
          </w:p>
        </w:tc>
        <w:tc>
          <w:tcPr>
            <w:tcW w:w="276" w:type="pct"/>
            <w:vMerge w:val="continue"/>
            <w:tcBorders>
              <w:left w:val="single" w:color="auto" w:sz="4" w:space="0"/>
              <w:bottom w:val="single" w:color="000000" w:sz="4" w:space="0"/>
              <w:right w:val="single" w:color="auto" w:sz="4" w:space="0"/>
            </w:tcBorders>
            <w:vAlign w:val="center"/>
          </w:tcPr>
          <w:p>
            <w:pPr>
              <w:adjustRightInd w:val="0"/>
              <w:snapToGrid w:val="0"/>
              <w:rPr>
                <w:sz w:val="15"/>
                <w:szCs w:val="15"/>
              </w:rPr>
            </w:pPr>
          </w:p>
        </w:tc>
        <w:tc>
          <w:tcPr>
            <w:tcW w:w="349" w:type="pct"/>
            <w:vMerge w:val="continue"/>
            <w:tcBorders>
              <w:left w:val="single" w:color="auto" w:sz="4" w:space="0"/>
              <w:bottom w:val="single" w:color="000000" w:sz="4" w:space="0"/>
              <w:right w:val="single" w:color="auto" w:sz="4" w:space="0"/>
            </w:tcBorders>
            <w:vAlign w:val="center"/>
          </w:tcPr>
          <w:p>
            <w:pPr>
              <w:adjustRightInd w:val="0"/>
              <w:snapToGrid w:val="0"/>
              <w:rPr>
                <w:sz w:val="15"/>
                <w:szCs w:val="15"/>
              </w:rPr>
            </w:pPr>
          </w:p>
        </w:tc>
        <w:tc>
          <w:tcPr>
            <w:tcW w:w="317" w:type="pct"/>
            <w:vMerge w:val="continue"/>
            <w:tcBorders>
              <w:left w:val="single" w:color="auto" w:sz="4" w:space="0"/>
              <w:bottom w:val="single" w:color="000000" w:sz="4" w:space="0"/>
              <w:right w:val="single" w:color="auto" w:sz="4" w:space="0"/>
            </w:tcBorders>
            <w:vAlign w:val="center"/>
          </w:tcPr>
          <w:p>
            <w:pPr>
              <w:adjustRightInd w:val="0"/>
              <w:snapToGrid w:val="0"/>
              <w:rPr>
                <w:sz w:val="15"/>
                <w:szCs w:val="15"/>
              </w:rPr>
            </w:pPr>
          </w:p>
        </w:tc>
        <w:tc>
          <w:tcPr>
            <w:tcW w:w="400" w:type="pct"/>
            <w:vMerge w:val="continue"/>
            <w:tcBorders>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1286" w:type="pct"/>
            <w:gridSpan w:val="2"/>
            <w:tcBorders>
              <w:top w:val="single" w:color="auto" w:sz="4" w:space="0"/>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专业拓展课小计</w:t>
            </w:r>
          </w:p>
        </w:tc>
        <w:tc>
          <w:tcPr>
            <w:tcW w:w="331"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p>
        </w:tc>
        <w:tc>
          <w:tcPr>
            <w:tcW w:w="293" w:type="pct"/>
            <w:tcBorders>
              <w:top w:val="nil"/>
              <w:left w:val="nil"/>
              <w:bottom w:val="single" w:color="auto" w:sz="4" w:space="0"/>
              <w:right w:val="single" w:color="auto" w:sz="4" w:space="0"/>
            </w:tcBorders>
            <w:shd w:val="clear" w:color="000000" w:fill="FFFF00"/>
            <w:vAlign w:val="center"/>
          </w:tcPr>
          <w:p>
            <w:pPr>
              <w:adjustRightInd w:val="0"/>
              <w:snapToGrid w:val="0"/>
              <w:rPr>
                <w:rFonts w:hint="eastAsia" w:eastAsia="宋体"/>
                <w:sz w:val="15"/>
                <w:szCs w:val="15"/>
                <w:lang w:val="en-US" w:eastAsia="zh-CN"/>
              </w:rPr>
            </w:pPr>
            <w:r>
              <w:rPr>
                <w:rFonts w:hint="eastAsia"/>
                <w:sz w:val="15"/>
                <w:szCs w:val="15"/>
                <w:lang w:val="en-US" w:eastAsia="zh-CN"/>
              </w:rPr>
              <w:t>8</w:t>
            </w:r>
          </w:p>
        </w:tc>
        <w:tc>
          <w:tcPr>
            <w:tcW w:w="327"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128</w:t>
            </w:r>
          </w:p>
        </w:tc>
        <w:tc>
          <w:tcPr>
            <w:tcW w:w="36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86</w:t>
            </w:r>
          </w:p>
        </w:tc>
        <w:tc>
          <w:tcPr>
            <w:tcW w:w="36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42</w:t>
            </w:r>
          </w:p>
        </w:tc>
        <w:tc>
          <w:tcPr>
            <w:tcW w:w="31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27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49"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48</w:t>
            </w:r>
          </w:p>
        </w:tc>
        <w:tc>
          <w:tcPr>
            <w:tcW w:w="317"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p>
        </w:tc>
      </w:tr>
      <w:tr>
        <w:tblPrEx>
          <w:tblCellMar>
            <w:top w:w="0" w:type="dxa"/>
            <w:left w:w="108" w:type="dxa"/>
            <w:bottom w:w="0" w:type="dxa"/>
            <w:right w:w="108" w:type="dxa"/>
          </w:tblCellMar>
        </w:tblPrEx>
        <w:trPr>
          <w:trHeight w:val="285" w:hRule="atLeast"/>
        </w:trPr>
        <w:tc>
          <w:tcPr>
            <w:tcW w:w="375" w:type="pct"/>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专项实践模块</w:t>
            </w: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1</w:t>
            </w:r>
          </w:p>
        </w:tc>
        <w:tc>
          <w:tcPr>
            <w:tcW w:w="1049" w:type="pct"/>
            <w:tcBorders>
              <w:top w:val="nil"/>
              <w:left w:val="nil"/>
              <w:bottom w:val="single" w:color="auto" w:sz="4" w:space="0"/>
              <w:right w:val="single" w:color="auto" w:sz="4" w:space="0"/>
            </w:tcBorders>
            <w:shd w:val="clear" w:color="auto" w:fill="auto"/>
            <w:noWrap/>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EXCEL在财务管理中运用</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kern w:val="2"/>
                <w:sz w:val="15"/>
                <w:szCs w:val="15"/>
                <w:lang w:val="en-US" w:eastAsia="zh-CN" w:bidi="ar-SA"/>
              </w:rPr>
            </w:pPr>
            <w:r>
              <w:rPr>
                <w:rFonts w:hint="eastAsia"/>
                <w:sz w:val="15"/>
                <w:szCs w:val="15"/>
                <w:lang w:eastAsia="zh-CN"/>
              </w:rPr>
              <w:t>财管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2</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32</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32</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32</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kern w:val="2"/>
                <w:sz w:val="15"/>
                <w:szCs w:val="15"/>
                <w:lang w:val="en-US" w:eastAsia="zh-CN" w:bidi="ar-SA"/>
              </w:rPr>
            </w:pPr>
            <w:r>
              <w:rPr>
                <w:rFonts w:hint="eastAsia"/>
                <w:sz w:val="15"/>
                <w:szCs w:val="15"/>
                <w:lang w:val="en-US" w:eastAsia="zh-CN"/>
              </w:rPr>
              <w:t>0</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H</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2</w:t>
            </w:r>
          </w:p>
        </w:tc>
        <w:tc>
          <w:tcPr>
            <w:tcW w:w="1049" w:type="pct"/>
            <w:tcBorders>
              <w:top w:val="nil"/>
              <w:left w:val="nil"/>
              <w:bottom w:val="single" w:color="auto" w:sz="4" w:space="0"/>
              <w:right w:val="single" w:color="auto" w:sz="4" w:space="0"/>
            </w:tcBorders>
            <w:shd w:val="clear" w:color="auto" w:fill="auto"/>
            <w:noWrap/>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财务业务一体化</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kern w:val="2"/>
                <w:sz w:val="15"/>
                <w:szCs w:val="15"/>
                <w:lang w:val="en-US" w:eastAsia="zh-CN" w:bidi="ar-SA"/>
              </w:rPr>
            </w:pPr>
            <w:r>
              <w:rPr>
                <w:rFonts w:hint="eastAsia"/>
                <w:sz w:val="15"/>
                <w:szCs w:val="15"/>
                <w:lang w:eastAsia="zh-CN"/>
              </w:rPr>
              <w:t>财管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3</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48</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48</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0</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kern w:val="2"/>
                <w:sz w:val="15"/>
                <w:szCs w:val="15"/>
                <w:lang w:val="en-US" w:eastAsia="zh-CN" w:bidi="ar-SA"/>
              </w:rPr>
            </w:pPr>
            <w:r>
              <w:rPr>
                <w:rFonts w:hint="eastAsia"/>
                <w:sz w:val="15"/>
                <w:szCs w:val="15"/>
                <w:lang w:val="en-US" w:eastAsia="zh-CN"/>
              </w:rPr>
              <w:t>48</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kern w:val="2"/>
                <w:sz w:val="15"/>
                <w:szCs w:val="15"/>
                <w:lang w:val="en-US" w:eastAsia="zh-CN" w:bidi="ar-SA"/>
              </w:rPr>
            </w:pPr>
            <w:r>
              <w:rPr>
                <w:rFonts w:hint="eastAsia"/>
                <w:sz w:val="15"/>
                <w:szCs w:val="15"/>
                <w:lang w:val="en-US" w:eastAsia="zh-CN"/>
              </w:rPr>
              <w:t>H</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3</w:t>
            </w:r>
          </w:p>
        </w:tc>
        <w:tc>
          <w:tcPr>
            <w:tcW w:w="1049" w:type="pct"/>
            <w:tcBorders>
              <w:top w:val="nil"/>
              <w:left w:val="nil"/>
              <w:bottom w:val="single" w:color="auto" w:sz="4" w:space="0"/>
              <w:right w:val="single" w:color="auto" w:sz="4" w:space="0"/>
            </w:tcBorders>
            <w:shd w:val="clear" w:color="auto" w:fill="auto"/>
            <w:noWrap/>
            <w:vAlign w:val="center"/>
          </w:tcPr>
          <w:p>
            <w:pPr>
              <w:adjustRightInd w:val="0"/>
              <w:snapToGrid w:val="0"/>
              <w:rPr>
                <w:rFonts w:hint="eastAsia" w:ascii="宋体" w:hAnsi="宋体" w:eastAsia="宋体" w:cs="Times New Roman"/>
                <w:kern w:val="2"/>
                <w:sz w:val="15"/>
                <w:szCs w:val="15"/>
                <w:lang w:val="en-US" w:eastAsia="zh-CN" w:bidi="ar-SA"/>
              </w:rPr>
            </w:pPr>
            <w:r>
              <w:rPr>
                <w:rFonts w:hint="eastAsia"/>
                <w:sz w:val="15"/>
                <w:szCs w:val="15"/>
                <w:lang w:val="en-US" w:eastAsia="zh-CN"/>
              </w:rPr>
              <w:t>数字化管理会计（中级）</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lang w:eastAsia="zh-CN"/>
              </w:rPr>
              <w:t>财管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4</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64</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64</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rPr>
              <w:t>0</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0</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lang w:val="en-US" w:eastAsia="zh-CN"/>
              </w:rPr>
              <w:t>64</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kern w:val="2"/>
                <w:sz w:val="15"/>
                <w:szCs w:val="15"/>
                <w:lang w:val="en-US" w:eastAsia="zh-CN" w:bidi="ar-SA"/>
              </w:rPr>
            </w:pPr>
            <w:r>
              <w:rPr>
                <w:rFonts w:hint="eastAsia"/>
                <w:sz w:val="15"/>
                <w:szCs w:val="15"/>
                <w:lang w:val="en-US" w:eastAsia="zh-CN"/>
              </w:rPr>
              <w:t>H</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r>
              <w:rPr>
                <w:rFonts w:hint="eastAsia"/>
                <w:sz w:val="15"/>
                <w:szCs w:val="15"/>
              </w:rPr>
              <w:t>4</w:t>
            </w:r>
          </w:p>
        </w:tc>
        <w:tc>
          <w:tcPr>
            <w:tcW w:w="1049" w:type="pct"/>
            <w:tcBorders>
              <w:top w:val="nil"/>
              <w:left w:val="nil"/>
              <w:bottom w:val="single" w:color="auto" w:sz="4" w:space="0"/>
              <w:right w:val="single" w:color="auto" w:sz="4" w:space="0"/>
            </w:tcBorders>
            <w:shd w:val="clear" w:color="auto" w:fill="auto"/>
            <w:noWrap/>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rPr>
              <w:t>企业实习</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lang w:eastAsia="zh-CN"/>
              </w:rPr>
              <w:t>财管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rPr>
              <w:t>4</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rPr>
              <w:t>12周</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rPr>
              <w:t>8周</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2周</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rPr>
              <w:t>2周</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hint="default" w:ascii="宋体" w:hAnsi="宋体" w:eastAsia="宋体" w:cs="Times New Roman"/>
                <w:kern w:val="2"/>
                <w:sz w:val="15"/>
                <w:szCs w:val="15"/>
                <w:lang w:val="en-US" w:eastAsia="zh-CN" w:bidi="ar-SA"/>
              </w:rPr>
            </w:pPr>
            <w:r>
              <w:rPr>
                <w:rFonts w:hint="eastAsia"/>
                <w:sz w:val="15"/>
                <w:szCs w:val="15"/>
              </w:rPr>
              <w:t>8周</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kern w:val="2"/>
                <w:sz w:val="15"/>
                <w:szCs w:val="15"/>
                <w:lang w:val="en-US" w:eastAsia="zh-CN" w:bidi="ar-SA"/>
              </w:rPr>
            </w:pPr>
            <w:r>
              <w:rPr>
                <w:rFonts w:hint="eastAsia"/>
                <w:sz w:val="15"/>
                <w:szCs w:val="15"/>
                <w:lang w:val="en-US" w:eastAsia="zh-CN"/>
              </w:rPr>
              <w:t>H</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236"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val="en-US" w:eastAsia="zh-CN"/>
              </w:rPr>
            </w:pPr>
            <w:r>
              <w:rPr>
                <w:rFonts w:hint="eastAsia"/>
                <w:sz w:val="15"/>
                <w:szCs w:val="15"/>
                <w:lang w:val="en-US" w:eastAsia="zh-CN"/>
              </w:rPr>
              <w:t>5</w:t>
            </w:r>
          </w:p>
        </w:tc>
        <w:tc>
          <w:tcPr>
            <w:tcW w:w="1049"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毕业设计</w:t>
            </w:r>
          </w:p>
        </w:tc>
        <w:tc>
          <w:tcPr>
            <w:tcW w:w="331"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lang w:eastAsia="zh-CN"/>
              </w:rPr>
              <w:t>财管</w:t>
            </w:r>
          </w:p>
        </w:tc>
        <w:tc>
          <w:tcPr>
            <w:tcW w:w="293"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6</w:t>
            </w:r>
          </w:p>
        </w:tc>
        <w:tc>
          <w:tcPr>
            <w:tcW w:w="327"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16周</w:t>
            </w:r>
          </w:p>
        </w:tc>
        <w:tc>
          <w:tcPr>
            <w:tcW w:w="363"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366"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16周</w:t>
            </w:r>
          </w:p>
        </w:tc>
        <w:tc>
          <w:tcPr>
            <w:tcW w:w="313"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276"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349"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0</w:t>
            </w:r>
          </w:p>
        </w:tc>
        <w:tc>
          <w:tcPr>
            <w:tcW w:w="317" w:type="pct"/>
            <w:tcBorders>
              <w:top w:val="nil"/>
              <w:left w:val="nil"/>
              <w:bottom w:val="single" w:color="auto" w:sz="4" w:space="0"/>
              <w:right w:val="single" w:color="auto" w:sz="4" w:space="0"/>
            </w:tcBorders>
            <w:shd w:val="clear" w:color="auto" w:fill="auto"/>
            <w:vAlign w:val="center"/>
          </w:tcPr>
          <w:p>
            <w:pPr>
              <w:adjustRightInd w:val="0"/>
              <w:snapToGrid w:val="0"/>
              <w:rPr>
                <w:rFonts w:ascii="宋体" w:hAnsi="宋体" w:eastAsia="宋体" w:cs="Times New Roman"/>
                <w:kern w:val="2"/>
                <w:sz w:val="15"/>
                <w:szCs w:val="15"/>
                <w:lang w:val="en-US" w:eastAsia="zh-CN" w:bidi="ar-SA"/>
              </w:rPr>
            </w:pPr>
            <w:r>
              <w:rPr>
                <w:rFonts w:hint="eastAsia"/>
                <w:sz w:val="15"/>
                <w:szCs w:val="15"/>
              </w:rPr>
              <w:t>16周</w:t>
            </w: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rFonts w:hint="eastAsia" w:ascii="宋体" w:hAnsi="宋体" w:eastAsia="宋体" w:cs="Times New Roman"/>
                <w:kern w:val="2"/>
                <w:sz w:val="15"/>
                <w:szCs w:val="15"/>
                <w:lang w:val="en-US" w:eastAsia="zh-CN" w:bidi="ar-SA"/>
              </w:rPr>
            </w:pPr>
            <w:r>
              <w:rPr>
                <w:rFonts w:hint="eastAsia"/>
                <w:sz w:val="15"/>
                <w:szCs w:val="15"/>
                <w:lang w:val="en-US" w:eastAsia="zh-CN"/>
              </w:rPr>
              <w:t>H</w:t>
            </w:r>
          </w:p>
        </w:tc>
      </w:tr>
      <w:tr>
        <w:tblPrEx>
          <w:tblCellMar>
            <w:top w:w="0" w:type="dxa"/>
            <w:left w:w="108" w:type="dxa"/>
            <w:bottom w:w="0" w:type="dxa"/>
            <w:right w:w="108" w:type="dxa"/>
          </w:tblCellMar>
        </w:tblPrEx>
        <w:trPr>
          <w:trHeight w:val="285" w:hRule="atLeast"/>
        </w:trPr>
        <w:tc>
          <w:tcPr>
            <w:tcW w:w="375" w:type="pct"/>
            <w:vMerge w:val="continue"/>
            <w:tcBorders>
              <w:top w:val="nil"/>
              <w:left w:val="single" w:color="auto" w:sz="4" w:space="0"/>
              <w:bottom w:val="single" w:color="auto" w:sz="4" w:space="0"/>
              <w:right w:val="single" w:color="auto" w:sz="4" w:space="0"/>
            </w:tcBorders>
            <w:vAlign w:val="center"/>
          </w:tcPr>
          <w:p>
            <w:pPr>
              <w:adjustRightInd w:val="0"/>
              <w:snapToGrid w:val="0"/>
              <w:rPr>
                <w:sz w:val="15"/>
                <w:szCs w:val="15"/>
              </w:rPr>
            </w:pPr>
          </w:p>
        </w:tc>
        <w:tc>
          <w:tcPr>
            <w:tcW w:w="1286" w:type="pct"/>
            <w:gridSpan w:val="2"/>
            <w:tcBorders>
              <w:top w:val="single" w:color="auto" w:sz="4" w:space="0"/>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专业</w:t>
            </w:r>
            <w:r>
              <w:rPr>
                <w:rFonts w:hint="eastAsia"/>
                <w:sz w:val="15"/>
                <w:szCs w:val="15"/>
                <w:lang w:eastAsia="zh-CN"/>
              </w:rPr>
              <w:t>实践模块</w:t>
            </w:r>
            <w:r>
              <w:rPr>
                <w:rFonts w:hint="eastAsia"/>
                <w:sz w:val="15"/>
                <w:szCs w:val="15"/>
              </w:rPr>
              <w:t>小计</w:t>
            </w:r>
          </w:p>
        </w:tc>
        <w:tc>
          <w:tcPr>
            <w:tcW w:w="331"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p>
        </w:tc>
        <w:tc>
          <w:tcPr>
            <w:tcW w:w="29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19</w:t>
            </w:r>
          </w:p>
        </w:tc>
        <w:tc>
          <w:tcPr>
            <w:tcW w:w="327"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144</w:t>
            </w:r>
          </w:p>
        </w:tc>
        <w:tc>
          <w:tcPr>
            <w:tcW w:w="363"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0</w:t>
            </w:r>
          </w:p>
        </w:tc>
        <w:tc>
          <w:tcPr>
            <w:tcW w:w="36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144</w:t>
            </w:r>
          </w:p>
        </w:tc>
        <w:tc>
          <w:tcPr>
            <w:tcW w:w="31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32</w:t>
            </w:r>
          </w:p>
        </w:tc>
        <w:tc>
          <w:tcPr>
            <w:tcW w:w="27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48</w:t>
            </w:r>
          </w:p>
        </w:tc>
        <w:tc>
          <w:tcPr>
            <w:tcW w:w="349"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r>
              <w:rPr>
                <w:rFonts w:hint="eastAsia"/>
                <w:sz w:val="15"/>
                <w:szCs w:val="15"/>
                <w:lang w:val="en-US" w:eastAsia="zh-CN"/>
              </w:rPr>
              <w:t>64</w:t>
            </w:r>
          </w:p>
        </w:tc>
        <w:tc>
          <w:tcPr>
            <w:tcW w:w="317"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p>
        </w:tc>
      </w:tr>
      <w:tr>
        <w:tblPrEx>
          <w:tblCellMar>
            <w:top w:w="0" w:type="dxa"/>
            <w:left w:w="108" w:type="dxa"/>
            <w:bottom w:w="0" w:type="dxa"/>
            <w:right w:w="108" w:type="dxa"/>
          </w:tblCellMar>
        </w:tblPrEx>
        <w:trPr>
          <w:trHeight w:val="285" w:hRule="atLeast"/>
        </w:trPr>
        <w:tc>
          <w:tcPr>
            <w:tcW w:w="1662" w:type="pct"/>
            <w:gridSpan w:val="3"/>
            <w:tcBorders>
              <w:top w:val="single" w:color="auto" w:sz="4" w:space="0"/>
              <w:left w:val="single" w:color="auto" w:sz="4" w:space="0"/>
              <w:bottom w:val="single" w:color="auto" w:sz="4" w:space="0"/>
              <w:right w:val="single" w:color="auto" w:sz="4" w:space="0"/>
            </w:tcBorders>
            <w:shd w:val="clear" w:color="000000" w:fill="FFFF00"/>
            <w:vAlign w:val="center"/>
          </w:tcPr>
          <w:p>
            <w:pPr>
              <w:adjustRightInd w:val="0"/>
              <w:snapToGrid w:val="0"/>
              <w:rPr>
                <w:sz w:val="15"/>
                <w:szCs w:val="15"/>
              </w:rPr>
            </w:pPr>
            <w:r>
              <w:rPr>
                <w:rFonts w:hint="eastAsia"/>
                <w:sz w:val="15"/>
                <w:szCs w:val="15"/>
              </w:rPr>
              <w:t>总计（所有课程）</w:t>
            </w:r>
          </w:p>
        </w:tc>
        <w:tc>
          <w:tcPr>
            <w:tcW w:w="331"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p>
        </w:tc>
        <w:tc>
          <w:tcPr>
            <w:tcW w:w="29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r>
              <w:rPr>
                <w:rFonts w:hint="eastAsia"/>
                <w:color w:val="FF0000"/>
                <w:sz w:val="15"/>
                <w:szCs w:val="15"/>
                <w:lang w:val="en-US" w:eastAsia="zh-CN"/>
              </w:rPr>
              <w:t>74.5</w:t>
            </w:r>
          </w:p>
        </w:tc>
        <w:tc>
          <w:tcPr>
            <w:tcW w:w="327"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r>
              <w:rPr>
                <w:rFonts w:hint="eastAsia"/>
                <w:color w:val="FF0000"/>
                <w:sz w:val="15"/>
                <w:szCs w:val="15"/>
                <w:lang w:val="en-US" w:eastAsia="zh-CN"/>
              </w:rPr>
              <w:t>1056</w:t>
            </w:r>
          </w:p>
        </w:tc>
        <w:tc>
          <w:tcPr>
            <w:tcW w:w="36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r>
              <w:rPr>
                <w:rFonts w:hint="eastAsia"/>
                <w:color w:val="FF0000"/>
                <w:sz w:val="15"/>
                <w:szCs w:val="15"/>
                <w:lang w:val="en-US" w:eastAsia="zh-CN"/>
              </w:rPr>
              <w:t>680</w:t>
            </w:r>
          </w:p>
        </w:tc>
        <w:tc>
          <w:tcPr>
            <w:tcW w:w="36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r>
              <w:rPr>
                <w:rFonts w:hint="eastAsia"/>
                <w:color w:val="FF0000"/>
                <w:sz w:val="15"/>
                <w:szCs w:val="15"/>
                <w:lang w:val="en-US" w:eastAsia="zh-CN"/>
              </w:rPr>
              <w:t>376</w:t>
            </w:r>
          </w:p>
        </w:tc>
        <w:tc>
          <w:tcPr>
            <w:tcW w:w="313"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p>
        </w:tc>
        <w:tc>
          <w:tcPr>
            <w:tcW w:w="276"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color w:val="FF0000"/>
                <w:sz w:val="15"/>
                <w:szCs w:val="15"/>
                <w:lang w:val="en-US" w:eastAsia="zh-CN"/>
              </w:rPr>
            </w:pPr>
          </w:p>
        </w:tc>
        <w:tc>
          <w:tcPr>
            <w:tcW w:w="349" w:type="pct"/>
            <w:tcBorders>
              <w:top w:val="nil"/>
              <w:left w:val="nil"/>
              <w:bottom w:val="single" w:color="auto" w:sz="4" w:space="0"/>
              <w:right w:val="single" w:color="auto" w:sz="4" w:space="0"/>
            </w:tcBorders>
            <w:shd w:val="clear" w:color="000000" w:fill="FFFF00"/>
            <w:vAlign w:val="center"/>
          </w:tcPr>
          <w:p>
            <w:pPr>
              <w:adjustRightInd w:val="0"/>
              <w:snapToGrid w:val="0"/>
              <w:rPr>
                <w:rFonts w:hint="default" w:eastAsia="宋体"/>
                <w:sz w:val="15"/>
                <w:szCs w:val="15"/>
                <w:lang w:val="en-US" w:eastAsia="zh-CN"/>
              </w:rPr>
            </w:pPr>
          </w:p>
        </w:tc>
        <w:tc>
          <w:tcPr>
            <w:tcW w:w="317" w:type="pct"/>
            <w:tcBorders>
              <w:top w:val="nil"/>
              <w:left w:val="nil"/>
              <w:bottom w:val="single" w:color="auto" w:sz="4" w:space="0"/>
              <w:right w:val="single" w:color="auto" w:sz="4" w:space="0"/>
            </w:tcBorders>
            <w:shd w:val="clear" w:color="000000" w:fill="FFFF00"/>
            <w:vAlign w:val="center"/>
          </w:tcPr>
          <w:p>
            <w:pPr>
              <w:adjustRightInd w:val="0"/>
              <w:snapToGrid w:val="0"/>
              <w:rPr>
                <w:sz w:val="15"/>
                <w:szCs w:val="15"/>
              </w:rPr>
            </w:pPr>
          </w:p>
        </w:tc>
        <w:tc>
          <w:tcPr>
            <w:tcW w:w="400" w:type="pct"/>
            <w:tcBorders>
              <w:top w:val="nil"/>
              <w:left w:val="nil"/>
              <w:bottom w:val="single" w:color="auto" w:sz="4" w:space="0"/>
              <w:right w:val="single" w:color="auto" w:sz="4" w:space="0"/>
            </w:tcBorders>
            <w:shd w:val="clear" w:color="auto" w:fill="auto"/>
            <w:vAlign w:val="center"/>
          </w:tcPr>
          <w:p>
            <w:pPr>
              <w:adjustRightInd w:val="0"/>
              <w:snapToGrid w:val="0"/>
              <w:rPr>
                <w:sz w:val="15"/>
                <w:szCs w:val="15"/>
              </w:rPr>
            </w:pPr>
          </w:p>
        </w:tc>
      </w:tr>
      <w:tr>
        <w:tblPrEx>
          <w:tblCellMar>
            <w:top w:w="0" w:type="dxa"/>
            <w:left w:w="108" w:type="dxa"/>
            <w:bottom w:w="0" w:type="dxa"/>
            <w:right w:w="108" w:type="dxa"/>
          </w:tblCellMar>
        </w:tblPrEx>
        <w:trPr>
          <w:trHeight w:val="1474" w:hRule="atLeast"/>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hint="eastAsia" w:eastAsia="宋体"/>
                <w:sz w:val="15"/>
                <w:szCs w:val="15"/>
                <w:lang w:eastAsia="zh-CN"/>
              </w:rPr>
            </w:pPr>
            <w:r>
              <w:rPr>
                <w:rFonts w:hint="eastAsia"/>
                <w:sz w:val="15"/>
                <w:szCs w:val="15"/>
              </w:rPr>
              <w:t>备注：</w:t>
            </w:r>
          </w:p>
          <w:p>
            <w:pPr>
              <w:adjustRightInd w:val="0"/>
              <w:snapToGrid w:val="0"/>
              <w:rPr>
                <w:rFonts w:hint="eastAsia" w:eastAsia="宋体"/>
                <w:sz w:val="15"/>
                <w:szCs w:val="15"/>
                <w:lang w:eastAsia="zh-CN"/>
              </w:rPr>
            </w:pPr>
            <w:r>
              <w:rPr>
                <w:rFonts w:hint="eastAsia"/>
                <w:sz w:val="15"/>
                <w:szCs w:val="15"/>
              </w:rPr>
              <w:t>1.课程管理单位简称为管理单位，为方便排版，管理单位采用简称。</w:t>
            </w:r>
          </w:p>
          <w:p>
            <w:pPr>
              <w:adjustRightInd w:val="0"/>
              <w:snapToGrid w:val="0"/>
              <w:rPr>
                <w:rFonts w:hint="eastAsia" w:eastAsia="宋体"/>
                <w:sz w:val="15"/>
                <w:szCs w:val="15"/>
                <w:lang w:eastAsia="zh-CN"/>
              </w:rPr>
            </w:pPr>
            <w:r>
              <w:rPr>
                <w:rFonts w:hint="eastAsia"/>
                <w:sz w:val="15"/>
                <w:szCs w:val="15"/>
              </w:rPr>
              <w:t>2．考核方式：考试课用K表示，考查课用C表示，考核用H表示。</w:t>
            </w:r>
          </w:p>
          <w:p>
            <w:pPr>
              <w:adjustRightInd w:val="0"/>
              <w:snapToGrid w:val="0"/>
              <w:rPr>
                <w:rFonts w:hint="eastAsia" w:eastAsia="宋体"/>
                <w:sz w:val="15"/>
                <w:szCs w:val="15"/>
                <w:lang w:eastAsia="zh-CN"/>
              </w:rPr>
            </w:pPr>
            <w:r>
              <w:rPr>
                <w:rFonts w:hint="eastAsia"/>
                <w:sz w:val="15"/>
                <w:szCs w:val="15"/>
              </w:rPr>
              <w:t>3.实践学时和学分点总学时学分的50%。</w:t>
            </w:r>
          </w:p>
          <w:p>
            <w:pPr>
              <w:adjustRightInd w:val="0"/>
              <w:snapToGrid w:val="0"/>
              <w:rPr>
                <w:rFonts w:hint="eastAsia" w:eastAsia="宋体"/>
                <w:sz w:val="15"/>
                <w:szCs w:val="15"/>
                <w:lang w:eastAsia="zh-CN"/>
              </w:rPr>
            </w:pPr>
            <w:r>
              <w:rPr>
                <w:rFonts w:hint="eastAsia"/>
                <w:sz w:val="15"/>
                <w:szCs w:val="15"/>
              </w:rPr>
              <w:t>4．课程名称后面的（一）、（二）等数字表示课程开设的顺序。</w:t>
            </w:r>
          </w:p>
          <w:p>
            <w:pPr>
              <w:adjustRightInd w:val="0"/>
              <w:snapToGrid w:val="0"/>
              <w:rPr>
                <w:rFonts w:hint="eastAsia" w:eastAsia="宋体"/>
                <w:sz w:val="15"/>
                <w:szCs w:val="15"/>
                <w:lang w:eastAsia="zh-CN"/>
              </w:rPr>
            </w:pPr>
            <w:r>
              <w:rPr>
                <w:rFonts w:hint="eastAsia"/>
                <w:sz w:val="15"/>
                <w:szCs w:val="15"/>
              </w:rPr>
              <w:t>5.体测共安排1次，安排在第二学期进行，成绩于第三学期录入正方系统。</w:t>
            </w:r>
          </w:p>
          <w:p>
            <w:pPr>
              <w:adjustRightInd w:val="0"/>
              <w:snapToGrid w:val="0"/>
              <w:rPr>
                <w:sz w:val="15"/>
                <w:szCs w:val="15"/>
              </w:rPr>
            </w:pPr>
            <w:r>
              <w:rPr>
                <w:rFonts w:hint="eastAsia"/>
                <w:sz w:val="15"/>
                <w:szCs w:val="15"/>
              </w:rPr>
              <w:t>6.有1+X证书的专业，专业基础课和专业核心课对接1+X证书高级课程</w:t>
            </w:r>
          </w:p>
        </w:tc>
      </w:tr>
      <w:bookmarkEnd w:id="1"/>
    </w:tbl>
    <w:p>
      <w:pPr>
        <w:widowControl/>
        <w:jc w:val="left"/>
        <w:rPr>
          <w:b/>
          <w:sz w:val="28"/>
        </w:rPr>
      </w:pPr>
      <w:r>
        <w:rPr>
          <w:b/>
          <w:sz w:val="28"/>
        </w:rPr>
        <w:br w:type="page"/>
      </w:r>
    </w:p>
    <w:p>
      <w:pPr>
        <w:rPr>
          <w:sz w:val="28"/>
        </w:rPr>
      </w:pPr>
    </w:p>
    <w:sectPr>
      <w:footerReference r:id="rId3" w:type="default"/>
      <w:pgSz w:w="11906" w:h="16838"/>
      <w:pgMar w:top="1440" w:right="1418"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C163B"/>
    <w:multiLevelType w:val="singleLevel"/>
    <w:tmpl w:val="91FC163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4M2VlZWVhYjBhMjMxZWY3ZTZkMTA0MGNhZWFiNTEifQ=="/>
  </w:docVars>
  <w:rsids>
    <w:rsidRoot w:val="007F1C26"/>
    <w:rsid w:val="00000FFA"/>
    <w:rsid w:val="000024B4"/>
    <w:rsid w:val="00021599"/>
    <w:rsid w:val="00023FE7"/>
    <w:rsid w:val="00024D13"/>
    <w:rsid w:val="000263F4"/>
    <w:rsid w:val="00031442"/>
    <w:rsid w:val="00040F4E"/>
    <w:rsid w:val="0004242A"/>
    <w:rsid w:val="00042B6F"/>
    <w:rsid w:val="00046C26"/>
    <w:rsid w:val="000503DC"/>
    <w:rsid w:val="00053ACE"/>
    <w:rsid w:val="00055575"/>
    <w:rsid w:val="0005562B"/>
    <w:rsid w:val="000655ED"/>
    <w:rsid w:val="00090568"/>
    <w:rsid w:val="000A046C"/>
    <w:rsid w:val="000C0743"/>
    <w:rsid w:val="000D04F3"/>
    <w:rsid w:val="000D35AB"/>
    <w:rsid w:val="000E566E"/>
    <w:rsid w:val="000F42AB"/>
    <w:rsid w:val="000F44EC"/>
    <w:rsid w:val="00110166"/>
    <w:rsid w:val="00113CED"/>
    <w:rsid w:val="00121377"/>
    <w:rsid w:val="0013269F"/>
    <w:rsid w:val="00147F0A"/>
    <w:rsid w:val="001566D4"/>
    <w:rsid w:val="00167354"/>
    <w:rsid w:val="001772A1"/>
    <w:rsid w:val="001807D9"/>
    <w:rsid w:val="001B74F6"/>
    <w:rsid w:val="001C0187"/>
    <w:rsid w:val="001C74A8"/>
    <w:rsid w:val="001E1C0C"/>
    <w:rsid w:val="001E5018"/>
    <w:rsid w:val="001E7804"/>
    <w:rsid w:val="001F25E0"/>
    <w:rsid w:val="001F5756"/>
    <w:rsid w:val="0021512D"/>
    <w:rsid w:val="00226CE0"/>
    <w:rsid w:val="00227AEE"/>
    <w:rsid w:val="00237CCB"/>
    <w:rsid w:val="00264B3C"/>
    <w:rsid w:val="0027055C"/>
    <w:rsid w:val="0027734B"/>
    <w:rsid w:val="00283DD4"/>
    <w:rsid w:val="00296C73"/>
    <w:rsid w:val="002A36C4"/>
    <w:rsid w:val="002A53E8"/>
    <w:rsid w:val="002A5844"/>
    <w:rsid w:val="002C7CCF"/>
    <w:rsid w:val="002D0524"/>
    <w:rsid w:val="002D12E3"/>
    <w:rsid w:val="002D717B"/>
    <w:rsid w:val="002E4862"/>
    <w:rsid w:val="002F00B4"/>
    <w:rsid w:val="00304CA0"/>
    <w:rsid w:val="00315B2C"/>
    <w:rsid w:val="00324A6E"/>
    <w:rsid w:val="003254C5"/>
    <w:rsid w:val="00346DC4"/>
    <w:rsid w:val="00352161"/>
    <w:rsid w:val="00352DBE"/>
    <w:rsid w:val="00367972"/>
    <w:rsid w:val="00373CCA"/>
    <w:rsid w:val="0038433B"/>
    <w:rsid w:val="003B023F"/>
    <w:rsid w:val="003B610F"/>
    <w:rsid w:val="003C1FDE"/>
    <w:rsid w:val="003C3324"/>
    <w:rsid w:val="003D11CA"/>
    <w:rsid w:val="003E357F"/>
    <w:rsid w:val="003E3F2E"/>
    <w:rsid w:val="003E5C22"/>
    <w:rsid w:val="003E5D20"/>
    <w:rsid w:val="003F645A"/>
    <w:rsid w:val="00402C0E"/>
    <w:rsid w:val="004050C6"/>
    <w:rsid w:val="00424AB5"/>
    <w:rsid w:val="004330A6"/>
    <w:rsid w:val="00446D7A"/>
    <w:rsid w:val="004533F8"/>
    <w:rsid w:val="00462436"/>
    <w:rsid w:val="00475E74"/>
    <w:rsid w:val="00484C7F"/>
    <w:rsid w:val="00490C87"/>
    <w:rsid w:val="00492BB0"/>
    <w:rsid w:val="00494A4F"/>
    <w:rsid w:val="0049788F"/>
    <w:rsid w:val="004B17E0"/>
    <w:rsid w:val="004B357A"/>
    <w:rsid w:val="004C11FF"/>
    <w:rsid w:val="004E0650"/>
    <w:rsid w:val="004E20DB"/>
    <w:rsid w:val="004E764E"/>
    <w:rsid w:val="00516168"/>
    <w:rsid w:val="0052119A"/>
    <w:rsid w:val="005322AA"/>
    <w:rsid w:val="0054637A"/>
    <w:rsid w:val="00552BC5"/>
    <w:rsid w:val="00573E3A"/>
    <w:rsid w:val="005B41DB"/>
    <w:rsid w:val="005B759D"/>
    <w:rsid w:val="005C3FF7"/>
    <w:rsid w:val="005D7928"/>
    <w:rsid w:val="005E048D"/>
    <w:rsid w:val="005F0663"/>
    <w:rsid w:val="00612632"/>
    <w:rsid w:val="00612F87"/>
    <w:rsid w:val="0061623E"/>
    <w:rsid w:val="00617274"/>
    <w:rsid w:val="006371DE"/>
    <w:rsid w:val="006372C6"/>
    <w:rsid w:val="00642AAC"/>
    <w:rsid w:val="00656AE9"/>
    <w:rsid w:val="00683137"/>
    <w:rsid w:val="00690257"/>
    <w:rsid w:val="006A62D0"/>
    <w:rsid w:val="006B0420"/>
    <w:rsid w:val="006B45CA"/>
    <w:rsid w:val="006C119E"/>
    <w:rsid w:val="006C7015"/>
    <w:rsid w:val="006D2E06"/>
    <w:rsid w:val="006D2F0B"/>
    <w:rsid w:val="006D4DA4"/>
    <w:rsid w:val="006D78D6"/>
    <w:rsid w:val="006E5DED"/>
    <w:rsid w:val="007018EE"/>
    <w:rsid w:val="007071D7"/>
    <w:rsid w:val="007130A2"/>
    <w:rsid w:val="00722D0C"/>
    <w:rsid w:val="00723168"/>
    <w:rsid w:val="007262B5"/>
    <w:rsid w:val="007274EC"/>
    <w:rsid w:val="00731A16"/>
    <w:rsid w:val="00737930"/>
    <w:rsid w:val="007445AE"/>
    <w:rsid w:val="00744FA4"/>
    <w:rsid w:val="00751F27"/>
    <w:rsid w:val="00757363"/>
    <w:rsid w:val="007806E9"/>
    <w:rsid w:val="00785E9D"/>
    <w:rsid w:val="00787F92"/>
    <w:rsid w:val="00792006"/>
    <w:rsid w:val="0079477B"/>
    <w:rsid w:val="00795CEE"/>
    <w:rsid w:val="007A5555"/>
    <w:rsid w:val="007A6A55"/>
    <w:rsid w:val="007C51A8"/>
    <w:rsid w:val="007D2287"/>
    <w:rsid w:val="007E11EA"/>
    <w:rsid w:val="007F1C26"/>
    <w:rsid w:val="007F3B71"/>
    <w:rsid w:val="008006C5"/>
    <w:rsid w:val="00803F10"/>
    <w:rsid w:val="00805A7F"/>
    <w:rsid w:val="00807C23"/>
    <w:rsid w:val="00812152"/>
    <w:rsid w:val="008137C7"/>
    <w:rsid w:val="00817E6B"/>
    <w:rsid w:val="00826CD3"/>
    <w:rsid w:val="00836D49"/>
    <w:rsid w:val="00847920"/>
    <w:rsid w:val="00847D8C"/>
    <w:rsid w:val="008533EE"/>
    <w:rsid w:val="008671D3"/>
    <w:rsid w:val="0087627B"/>
    <w:rsid w:val="008810C7"/>
    <w:rsid w:val="00890EDD"/>
    <w:rsid w:val="008938A1"/>
    <w:rsid w:val="0089397E"/>
    <w:rsid w:val="008941AF"/>
    <w:rsid w:val="008A437B"/>
    <w:rsid w:val="008C564D"/>
    <w:rsid w:val="008F49ED"/>
    <w:rsid w:val="008F4AC7"/>
    <w:rsid w:val="0090626D"/>
    <w:rsid w:val="00915B98"/>
    <w:rsid w:val="0091777A"/>
    <w:rsid w:val="0092484E"/>
    <w:rsid w:val="009362A7"/>
    <w:rsid w:val="009466F8"/>
    <w:rsid w:val="00951C72"/>
    <w:rsid w:val="00963511"/>
    <w:rsid w:val="009649DF"/>
    <w:rsid w:val="00975570"/>
    <w:rsid w:val="00977A06"/>
    <w:rsid w:val="009910DF"/>
    <w:rsid w:val="009A4816"/>
    <w:rsid w:val="009B2387"/>
    <w:rsid w:val="009B49D3"/>
    <w:rsid w:val="009B7D8D"/>
    <w:rsid w:val="009C0F31"/>
    <w:rsid w:val="009C445C"/>
    <w:rsid w:val="009C489F"/>
    <w:rsid w:val="009D57B5"/>
    <w:rsid w:val="009D5E26"/>
    <w:rsid w:val="009E05EE"/>
    <w:rsid w:val="009E0F41"/>
    <w:rsid w:val="009E3086"/>
    <w:rsid w:val="009E56AD"/>
    <w:rsid w:val="00A02FBB"/>
    <w:rsid w:val="00A156F2"/>
    <w:rsid w:val="00A17227"/>
    <w:rsid w:val="00A275AD"/>
    <w:rsid w:val="00A3251C"/>
    <w:rsid w:val="00A3376B"/>
    <w:rsid w:val="00A51EE4"/>
    <w:rsid w:val="00A641B5"/>
    <w:rsid w:val="00A67F26"/>
    <w:rsid w:val="00A72D72"/>
    <w:rsid w:val="00A767F4"/>
    <w:rsid w:val="00A81C64"/>
    <w:rsid w:val="00A87AC1"/>
    <w:rsid w:val="00AA4508"/>
    <w:rsid w:val="00AA5416"/>
    <w:rsid w:val="00AB2895"/>
    <w:rsid w:val="00AB7B92"/>
    <w:rsid w:val="00AC730F"/>
    <w:rsid w:val="00AC7786"/>
    <w:rsid w:val="00AD1303"/>
    <w:rsid w:val="00AD2B3B"/>
    <w:rsid w:val="00AD3BC9"/>
    <w:rsid w:val="00AE74C3"/>
    <w:rsid w:val="00B0060A"/>
    <w:rsid w:val="00B05C1B"/>
    <w:rsid w:val="00B116FF"/>
    <w:rsid w:val="00B1705E"/>
    <w:rsid w:val="00B220DA"/>
    <w:rsid w:val="00B23957"/>
    <w:rsid w:val="00B24FAC"/>
    <w:rsid w:val="00B31B50"/>
    <w:rsid w:val="00B3240D"/>
    <w:rsid w:val="00B4647D"/>
    <w:rsid w:val="00B51ABC"/>
    <w:rsid w:val="00B53849"/>
    <w:rsid w:val="00B560DA"/>
    <w:rsid w:val="00B5792F"/>
    <w:rsid w:val="00B60556"/>
    <w:rsid w:val="00B6089A"/>
    <w:rsid w:val="00B6364D"/>
    <w:rsid w:val="00B726B7"/>
    <w:rsid w:val="00B74F9D"/>
    <w:rsid w:val="00B82362"/>
    <w:rsid w:val="00B84E61"/>
    <w:rsid w:val="00B852CD"/>
    <w:rsid w:val="00B9546A"/>
    <w:rsid w:val="00BA31C0"/>
    <w:rsid w:val="00BC3165"/>
    <w:rsid w:val="00BC461B"/>
    <w:rsid w:val="00BD0B46"/>
    <w:rsid w:val="00BD3DD0"/>
    <w:rsid w:val="00BE136A"/>
    <w:rsid w:val="00BE196D"/>
    <w:rsid w:val="00BE7D45"/>
    <w:rsid w:val="00BF0670"/>
    <w:rsid w:val="00BF0B43"/>
    <w:rsid w:val="00BF4F5E"/>
    <w:rsid w:val="00C254C9"/>
    <w:rsid w:val="00C345FA"/>
    <w:rsid w:val="00C37BFB"/>
    <w:rsid w:val="00C51559"/>
    <w:rsid w:val="00C55AF6"/>
    <w:rsid w:val="00C560EC"/>
    <w:rsid w:val="00C57937"/>
    <w:rsid w:val="00C925D2"/>
    <w:rsid w:val="00CA0781"/>
    <w:rsid w:val="00CD33EB"/>
    <w:rsid w:val="00CF10F5"/>
    <w:rsid w:val="00CF345B"/>
    <w:rsid w:val="00D02DBA"/>
    <w:rsid w:val="00D110C7"/>
    <w:rsid w:val="00D16237"/>
    <w:rsid w:val="00D30E7A"/>
    <w:rsid w:val="00D34EC2"/>
    <w:rsid w:val="00D408F6"/>
    <w:rsid w:val="00D42E48"/>
    <w:rsid w:val="00D46532"/>
    <w:rsid w:val="00D50B02"/>
    <w:rsid w:val="00D56ED1"/>
    <w:rsid w:val="00D664A1"/>
    <w:rsid w:val="00D74D8D"/>
    <w:rsid w:val="00D9416B"/>
    <w:rsid w:val="00DB7C3D"/>
    <w:rsid w:val="00DC2839"/>
    <w:rsid w:val="00DC2A06"/>
    <w:rsid w:val="00DD243E"/>
    <w:rsid w:val="00DF2BA9"/>
    <w:rsid w:val="00DF2F07"/>
    <w:rsid w:val="00E06423"/>
    <w:rsid w:val="00E10C82"/>
    <w:rsid w:val="00E404A0"/>
    <w:rsid w:val="00E43C07"/>
    <w:rsid w:val="00E5103E"/>
    <w:rsid w:val="00E52DB3"/>
    <w:rsid w:val="00E575A4"/>
    <w:rsid w:val="00E61B23"/>
    <w:rsid w:val="00E64796"/>
    <w:rsid w:val="00E71CB3"/>
    <w:rsid w:val="00E731FE"/>
    <w:rsid w:val="00E75D1C"/>
    <w:rsid w:val="00E81ECE"/>
    <w:rsid w:val="00E82D6F"/>
    <w:rsid w:val="00E83174"/>
    <w:rsid w:val="00E9508E"/>
    <w:rsid w:val="00E97AE0"/>
    <w:rsid w:val="00EA372D"/>
    <w:rsid w:val="00EB595F"/>
    <w:rsid w:val="00EB690F"/>
    <w:rsid w:val="00EC21A7"/>
    <w:rsid w:val="00EC6CF0"/>
    <w:rsid w:val="00ED0AC7"/>
    <w:rsid w:val="00ED5B83"/>
    <w:rsid w:val="00EE154A"/>
    <w:rsid w:val="00F043F6"/>
    <w:rsid w:val="00F063DA"/>
    <w:rsid w:val="00F121F6"/>
    <w:rsid w:val="00F519BB"/>
    <w:rsid w:val="00F724DE"/>
    <w:rsid w:val="00F7484A"/>
    <w:rsid w:val="00F82415"/>
    <w:rsid w:val="00F83B0B"/>
    <w:rsid w:val="00F9112A"/>
    <w:rsid w:val="00FA1D50"/>
    <w:rsid w:val="00FB065A"/>
    <w:rsid w:val="00FB1222"/>
    <w:rsid w:val="00FB182E"/>
    <w:rsid w:val="00FB34F5"/>
    <w:rsid w:val="00FB475E"/>
    <w:rsid w:val="00FB6591"/>
    <w:rsid w:val="00FC31C1"/>
    <w:rsid w:val="00FC4F4C"/>
    <w:rsid w:val="00FC5092"/>
    <w:rsid w:val="00FD7DE5"/>
    <w:rsid w:val="00FE28E3"/>
    <w:rsid w:val="00FE4229"/>
    <w:rsid w:val="00FF2689"/>
    <w:rsid w:val="00FF451E"/>
    <w:rsid w:val="00FF7441"/>
    <w:rsid w:val="0101208D"/>
    <w:rsid w:val="015D1D3D"/>
    <w:rsid w:val="02B52DC5"/>
    <w:rsid w:val="05424CF0"/>
    <w:rsid w:val="056A6802"/>
    <w:rsid w:val="058455CC"/>
    <w:rsid w:val="060B7C83"/>
    <w:rsid w:val="060C4B56"/>
    <w:rsid w:val="06653006"/>
    <w:rsid w:val="06ED44BC"/>
    <w:rsid w:val="09CF3FF4"/>
    <w:rsid w:val="0BBA3FCC"/>
    <w:rsid w:val="0C2524B5"/>
    <w:rsid w:val="0C332D4C"/>
    <w:rsid w:val="0C752A22"/>
    <w:rsid w:val="0D167CA1"/>
    <w:rsid w:val="0D2739C2"/>
    <w:rsid w:val="0D3F1B0D"/>
    <w:rsid w:val="0D970BEB"/>
    <w:rsid w:val="0DF844C1"/>
    <w:rsid w:val="0E431DFB"/>
    <w:rsid w:val="0E6B71E4"/>
    <w:rsid w:val="0EFD6D3B"/>
    <w:rsid w:val="0F7A1B20"/>
    <w:rsid w:val="10A612ED"/>
    <w:rsid w:val="11287692"/>
    <w:rsid w:val="11445AB8"/>
    <w:rsid w:val="121E6CFA"/>
    <w:rsid w:val="127D2C10"/>
    <w:rsid w:val="12A87945"/>
    <w:rsid w:val="13E21CBA"/>
    <w:rsid w:val="13F230E7"/>
    <w:rsid w:val="142C26E3"/>
    <w:rsid w:val="14F25066"/>
    <w:rsid w:val="15F32497"/>
    <w:rsid w:val="162C0F81"/>
    <w:rsid w:val="16597D82"/>
    <w:rsid w:val="165E79BE"/>
    <w:rsid w:val="176B2EEC"/>
    <w:rsid w:val="17B805A4"/>
    <w:rsid w:val="17D20D2F"/>
    <w:rsid w:val="18092227"/>
    <w:rsid w:val="18581C83"/>
    <w:rsid w:val="18C80438"/>
    <w:rsid w:val="19412559"/>
    <w:rsid w:val="1AA84B73"/>
    <w:rsid w:val="1B007D56"/>
    <w:rsid w:val="1B031082"/>
    <w:rsid w:val="1B134BD4"/>
    <w:rsid w:val="1B991BB1"/>
    <w:rsid w:val="1C234770"/>
    <w:rsid w:val="1CF1184F"/>
    <w:rsid w:val="1F75127A"/>
    <w:rsid w:val="1FB33A7F"/>
    <w:rsid w:val="209E44F9"/>
    <w:rsid w:val="21723890"/>
    <w:rsid w:val="21BF74DB"/>
    <w:rsid w:val="22D02715"/>
    <w:rsid w:val="232C736A"/>
    <w:rsid w:val="237A3084"/>
    <w:rsid w:val="23A2562F"/>
    <w:rsid w:val="23A40B50"/>
    <w:rsid w:val="23BA0971"/>
    <w:rsid w:val="26850AA3"/>
    <w:rsid w:val="26C403E7"/>
    <w:rsid w:val="26F31E1B"/>
    <w:rsid w:val="27B902E1"/>
    <w:rsid w:val="27CA4830"/>
    <w:rsid w:val="283148A5"/>
    <w:rsid w:val="285C432D"/>
    <w:rsid w:val="2A013FAA"/>
    <w:rsid w:val="2A491E5D"/>
    <w:rsid w:val="2A493252"/>
    <w:rsid w:val="2A4D2CD6"/>
    <w:rsid w:val="2A9C0BB5"/>
    <w:rsid w:val="2B7A2657"/>
    <w:rsid w:val="2BB24D11"/>
    <w:rsid w:val="2BD6333D"/>
    <w:rsid w:val="2BE23E1C"/>
    <w:rsid w:val="2C416B05"/>
    <w:rsid w:val="2D8A079D"/>
    <w:rsid w:val="2E682D12"/>
    <w:rsid w:val="2E741C47"/>
    <w:rsid w:val="2EBF34E1"/>
    <w:rsid w:val="2EF90DE2"/>
    <w:rsid w:val="2F4C1EEB"/>
    <w:rsid w:val="30EA3FD9"/>
    <w:rsid w:val="30FE2910"/>
    <w:rsid w:val="311908B4"/>
    <w:rsid w:val="31647324"/>
    <w:rsid w:val="33757493"/>
    <w:rsid w:val="33CE1A6C"/>
    <w:rsid w:val="344E0BAA"/>
    <w:rsid w:val="35173829"/>
    <w:rsid w:val="352B492B"/>
    <w:rsid w:val="362F6CCA"/>
    <w:rsid w:val="366C34E7"/>
    <w:rsid w:val="36A331C6"/>
    <w:rsid w:val="36CF5AF6"/>
    <w:rsid w:val="37C34F34"/>
    <w:rsid w:val="38567217"/>
    <w:rsid w:val="387023BA"/>
    <w:rsid w:val="38C21F67"/>
    <w:rsid w:val="394D4E3B"/>
    <w:rsid w:val="39777909"/>
    <w:rsid w:val="3A595212"/>
    <w:rsid w:val="3ACB1DF9"/>
    <w:rsid w:val="3B176D59"/>
    <w:rsid w:val="3B471C03"/>
    <w:rsid w:val="3BF03250"/>
    <w:rsid w:val="3D414AF2"/>
    <w:rsid w:val="3E2D0147"/>
    <w:rsid w:val="3EC04AC9"/>
    <w:rsid w:val="3F2717D0"/>
    <w:rsid w:val="400B2F65"/>
    <w:rsid w:val="4246797C"/>
    <w:rsid w:val="425D53B9"/>
    <w:rsid w:val="42613285"/>
    <w:rsid w:val="426224EC"/>
    <w:rsid w:val="42E252BD"/>
    <w:rsid w:val="438B7B7A"/>
    <w:rsid w:val="43C64FC4"/>
    <w:rsid w:val="440A1F51"/>
    <w:rsid w:val="44507DEE"/>
    <w:rsid w:val="44993291"/>
    <w:rsid w:val="464918D4"/>
    <w:rsid w:val="46994371"/>
    <w:rsid w:val="46AF73EF"/>
    <w:rsid w:val="46B2556B"/>
    <w:rsid w:val="46DE5137"/>
    <w:rsid w:val="471075EB"/>
    <w:rsid w:val="47377C6B"/>
    <w:rsid w:val="47F220BC"/>
    <w:rsid w:val="47F439FF"/>
    <w:rsid w:val="48440EDD"/>
    <w:rsid w:val="491C148D"/>
    <w:rsid w:val="498C6328"/>
    <w:rsid w:val="4A3978EF"/>
    <w:rsid w:val="4AA36079"/>
    <w:rsid w:val="4AEB2C23"/>
    <w:rsid w:val="4B3F1775"/>
    <w:rsid w:val="4B4C55C7"/>
    <w:rsid w:val="4B720466"/>
    <w:rsid w:val="4C130A75"/>
    <w:rsid w:val="4CBE430F"/>
    <w:rsid w:val="4DCB1B08"/>
    <w:rsid w:val="4E2F6BD6"/>
    <w:rsid w:val="4ECA5F8D"/>
    <w:rsid w:val="4F25634F"/>
    <w:rsid w:val="507E03B4"/>
    <w:rsid w:val="50C7295E"/>
    <w:rsid w:val="5149788D"/>
    <w:rsid w:val="51783E4C"/>
    <w:rsid w:val="52720C3C"/>
    <w:rsid w:val="533F28F4"/>
    <w:rsid w:val="53541BEB"/>
    <w:rsid w:val="53E60778"/>
    <w:rsid w:val="548D4A67"/>
    <w:rsid w:val="554F626C"/>
    <w:rsid w:val="557D1761"/>
    <w:rsid w:val="56276FDE"/>
    <w:rsid w:val="56682A63"/>
    <w:rsid w:val="56962AE8"/>
    <w:rsid w:val="56DC1003"/>
    <w:rsid w:val="56E06E3F"/>
    <w:rsid w:val="575120AC"/>
    <w:rsid w:val="584E3260"/>
    <w:rsid w:val="5990723C"/>
    <w:rsid w:val="59FE7178"/>
    <w:rsid w:val="5A1474A4"/>
    <w:rsid w:val="5B900ED8"/>
    <w:rsid w:val="5BB57671"/>
    <w:rsid w:val="5CB926C5"/>
    <w:rsid w:val="5CC93106"/>
    <w:rsid w:val="5D5971C8"/>
    <w:rsid w:val="5F5D090A"/>
    <w:rsid w:val="61206CC5"/>
    <w:rsid w:val="614F289C"/>
    <w:rsid w:val="61652C76"/>
    <w:rsid w:val="63795F9D"/>
    <w:rsid w:val="63D043D1"/>
    <w:rsid w:val="648D750F"/>
    <w:rsid w:val="6501351B"/>
    <w:rsid w:val="65694F87"/>
    <w:rsid w:val="65A65B52"/>
    <w:rsid w:val="66317924"/>
    <w:rsid w:val="666F00DF"/>
    <w:rsid w:val="67A93E97"/>
    <w:rsid w:val="67E43B81"/>
    <w:rsid w:val="67F62A70"/>
    <w:rsid w:val="68777697"/>
    <w:rsid w:val="68E12F21"/>
    <w:rsid w:val="69293178"/>
    <w:rsid w:val="697F59E6"/>
    <w:rsid w:val="6E932576"/>
    <w:rsid w:val="6EFF7D6E"/>
    <w:rsid w:val="6F523A75"/>
    <w:rsid w:val="6FA32C37"/>
    <w:rsid w:val="6FD37128"/>
    <w:rsid w:val="70640B15"/>
    <w:rsid w:val="71A365D6"/>
    <w:rsid w:val="71CD1235"/>
    <w:rsid w:val="725716B2"/>
    <w:rsid w:val="73752DED"/>
    <w:rsid w:val="73CD0201"/>
    <w:rsid w:val="73D342BB"/>
    <w:rsid w:val="747F73FC"/>
    <w:rsid w:val="74E90D4B"/>
    <w:rsid w:val="750233FB"/>
    <w:rsid w:val="76433073"/>
    <w:rsid w:val="7645397E"/>
    <w:rsid w:val="76785D3D"/>
    <w:rsid w:val="7A867801"/>
    <w:rsid w:val="7C1320FA"/>
    <w:rsid w:val="7C8C5979"/>
    <w:rsid w:val="7CC36E9C"/>
    <w:rsid w:val="7E0B0C96"/>
    <w:rsid w:val="7F331808"/>
    <w:rsid w:val="7F377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18"/>
      <w:szCs w:val="28"/>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rPr>
      <w:rFonts w:cstheme="minorBidi"/>
    </w:rPr>
  </w:style>
  <w:style w:type="paragraph" w:styleId="4">
    <w:name w:val="Body Text Indent"/>
    <w:basedOn w:val="1"/>
    <w:link w:val="33"/>
    <w:semiHidden/>
    <w:unhideWhenUsed/>
    <w:qFormat/>
    <w:uiPriority w:val="99"/>
    <w:pPr>
      <w:spacing w:after="120"/>
      <w:ind w:left="420" w:leftChars="200"/>
    </w:pPr>
  </w:style>
  <w:style w:type="paragraph" w:styleId="5">
    <w:name w:val="Date"/>
    <w:basedOn w:val="1"/>
    <w:next w:val="1"/>
    <w:link w:val="35"/>
    <w:semiHidden/>
    <w:unhideWhenUsed/>
    <w:qFormat/>
    <w:uiPriority w:val="99"/>
    <w:pPr>
      <w:ind w:left="100" w:leftChars="2500"/>
    </w:pPr>
  </w:style>
  <w:style w:type="paragraph" w:styleId="6">
    <w:name w:val="Body Text Indent 2"/>
    <w:basedOn w:val="1"/>
    <w:link w:val="32"/>
    <w:qFormat/>
    <w:uiPriority w:val="0"/>
    <w:pPr>
      <w:spacing w:after="120" w:line="480" w:lineRule="auto"/>
      <w:ind w:left="420" w:leftChars="200"/>
    </w:pPr>
    <w:rPr>
      <w:rFonts w:ascii="Times New Roman" w:hAnsi="Times New Roman"/>
      <w:bCs/>
      <w:sz w:val="21"/>
      <w:szCs w:val="24"/>
    </w:rPr>
  </w:style>
  <w:style w:type="paragraph" w:styleId="7">
    <w:name w:val="Balloon Text"/>
    <w:basedOn w:val="1"/>
    <w:link w:val="21"/>
    <w:qFormat/>
    <w:uiPriority w:val="0"/>
    <w:rPr>
      <w:rFonts w:cstheme="minorBidi"/>
      <w:szCs w:val="18"/>
    </w:rPr>
  </w:style>
  <w:style w:type="paragraph" w:styleId="8">
    <w:name w:val="footer"/>
    <w:basedOn w:val="1"/>
    <w:link w:val="28"/>
    <w:qFormat/>
    <w:uiPriority w:val="0"/>
    <w:pPr>
      <w:tabs>
        <w:tab w:val="center" w:pos="4153"/>
        <w:tab w:val="right" w:pos="8306"/>
      </w:tabs>
      <w:snapToGrid w:val="0"/>
      <w:jc w:val="left"/>
    </w:pPr>
  </w:style>
  <w:style w:type="paragraph" w:styleId="9">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style>
  <w:style w:type="paragraph" w:styleId="10">
    <w:name w:val="Normal (Web)"/>
    <w:basedOn w:val="1"/>
    <w:qFormat/>
    <w:uiPriority w:val="0"/>
    <w:pPr>
      <w:widowControl/>
      <w:jc w:val="left"/>
    </w:pPr>
    <w:rPr>
      <w:rFonts w:ascii="Arial Unicode MS" w:hAnsi="Arial Unicode MS"/>
      <w:color w:val="000000"/>
      <w:sz w:val="24"/>
      <w:szCs w:val="24"/>
    </w:rPr>
  </w:style>
  <w:style w:type="paragraph" w:styleId="11">
    <w:name w:val="annotation subject"/>
    <w:basedOn w:val="3"/>
    <w:next w:val="3"/>
    <w:link w:val="22"/>
    <w:qFormat/>
    <w:uiPriority w:val="0"/>
    <w:rPr>
      <w:b/>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FollowedHyperlink"/>
    <w:qFormat/>
    <w:uiPriority w:val="0"/>
    <w:rPr>
      <w:color w:val="000000"/>
      <w:u w:val="none"/>
    </w:rPr>
  </w:style>
  <w:style w:type="character" w:styleId="17">
    <w:name w:val="Hyperlink"/>
    <w:qFormat/>
    <w:uiPriority w:val="0"/>
    <w:rPr>
      <w:color w:val="000000"/>
      <w:u w:val="none"/>
    </w:rPr>
  </w:style>
  <w:style w:type="character" w:styleId="18">
    <w:name w:val="annotation reference"/>
    <w:qFormat/>
    <w:uiPriority w:val="0"/>
    <w:rPr>
      <w:sz w:val="21"/>
      <w:szCs w:val="21"/>
    </w:rPr>
  </w:style>
  <w:style w:type="character" w:customStyle="1" w:styleId="19">
    <w:name w:val="批注文字 字符"/>
    <w:link w:val="3"/>
    <w:qFormat/>
    <w:uiPriority w:val="0"/>
    <w:rPr>
      <w:rFonts w:ascii="仿宋_GB2312" w:hAnsi="宋体" w:eastAsia="仿宋_GB2312"/>
      <w:bCs/>
      <w:sz w:val="18"/>
      <w:szCs w:val="28"/>
    </w:rPr>
  </w:style>
  <w:style w:type="character" w:customStyle="1" w:styleId="20">
    <w:name w:val="font111"/>
    <w:qFormat/>
    <w:uiPriority w:val="0"/>
    <w:rPr>
      <w:rFonts w:hint="eastAsia" w:ascii="宋体" w:hAnsi="宋体" w:eastAsia="宋体" w:cs="宋体"/>
      <w:color w:val="000000"/>
      <w:sz w:val="18"/>
      <w:szCs w:val="18"/>
      <w:u w:val="none"/>
    </w:rPr>
  </w:style>
  <w:style w:type="character" w:customStyle="1" w:styleId="21">
    <w:name w:val="批注框文本 字符"/>
    <w:link w:val="7"/>
    <w:qFormat/>
    <w:uiPriority w:val="0"/>
    <w:rPr>
      <w:rFonts w:ascii="仿宋_GB2312" w:hAnsi="宋体" w:eastAsia="仿宋_GB2312"/>
      <w:bCs/>
      <w:sz w:val="18"/>
      <w:szCs w:val="18"/>
    </w:rPr>
  </w:style>
  <w:style w:type="character" w:customStyle="1" w:styleId="22">
    <w:name w:val="批注主题 字符"/>
    <w:link w:val="11"/>
    <w:qFormat/>
    <w:uiPriority w:val="0"/>
    <w:rPr>
      <w:rFonts w:ascii="仿宋_GB2312" w:hAnsi="宋体" w:eastAsia="仿宋_GB2312"/>
      <w:b/>
      <w:bCs/>
      <w:sz w:val="18"/>
      <w:szCs w:val="28"/>
    </w:rPr>
  </w:style>
  <w:style w:type="character" w:customStyle="1" w:styleId="23">
    <w:name w:val="页眉 字符"/>
    <w:basedOn w:val="14"/>
    <w:link w:val="9"/>
    <w:qFormat/>
    <w:uiPriority w:val="0"/>
    <w:rPr>
      <w:rFonts w:ascii="仿宋_GB2312" w:hAnsi="宋体" w:eastAsia="仿宋_GB2312" w:cs="Times New Roman"/>
      <w:bCs/>
      <w:sz w:val="18"/>
      <w:szCs w:val="28"/>
    </w:rPr>
  </w:style>
  <w:style w:type="paragraph" w:customStyle="1" w:styleId="24">
    <w:name w:val="reader-word-layer reader-word-s2-5"/>
    <w:basedOn w:val="1"/>
    <w:qFormat/>
    <w:uiPriority w:val="0"/>
    <w:pPr>
      <w:widowControl/>
      <w:spacing w:before="100" w:beforeAutospacing="1" w:after="100" w:afterAutospacing="1"/>
      <w:jc w:val="left"/>
    </w:pPr>
    <w:rPr>
      <w:rFonts w:hint="eastAsia" w:cs="宋体"/>
      <w:bCs/>
      <w:kern w:val="0"/>
      <w:sz w:val="24"/>
      <w:szCs w:val="24"/>
    </w:rPr>
  </w:style>
  <w:style w:type="paragraph" w:customStyle="1" w:styleId="25">
    <w:name w:val="section1"/>
    <w:basedOn w:val="1"/>
    <w:qFormat/>
    <w:uiPriority w:val="0"/>
    <w:pPr>
      <w:widowControl/>
      <w:spacing w:line="450" w:lineRule="atLeast"/>
      <w:jc w:val="left"/>
    </w:pPr>
    <w:rPr>
      <w:rFonts w:cs="宋体"/>
      <w:bCs/>
      <w:kern w:val="0"/>
      <w:sz w:val="24"/>
      <w:szCs w:val="24"/>
    </w:rPr>
  </w:style>
  <w:style w:type="character" w:customStyle="1" w:styleId="26">
    <w:name w:val="批注文字 字符1"/>
    <w:basedOn w:val="14"/>
    <w:semiHidden/>
    <w:qFormat/>
    <w:uiPriority w:val="99"/>
    <w:rPr>
      <w:rFonts w:ascii="仿宋_GB2312" w:hAnsi="宋体" w:eastAsia="仿宋_GB2312" w:cs="Times New Roman"/>
      <w:bCs/>
      <w:sz w:val="18"/>
      <w:szCs w:val="28"/>
    </w:rPr>
  </w:style>
  <w:style w:type="character" w:customStyle="1" w:styleId="27">
    <w:name w:val="批注框文本 字符1"/>
    <w:basedOn w:val="14"/>
    <w:semiHidden/>
    <w:qFormat/>
    <w:uiPriority w:val="99"/>
    <w:rPr>
      <w:rFonts w:ascii="仿宋_GB2312" w:hAnsi="宋体" w:eastAsia="仿宋_GB2312" w:cs="Times New Roman"/>
      <w:bCs/>
      <w:sz w:val="18"/>
      <w:szCs w:val="18"/>
    </w:rPr>
  </w:style>
  <w:style w:type="character" w:customStyle="1" w:styleId="28">
    <w:name w:val="页脚 字符"/>
    <w:basedOn w:val="14"/>
    <w:link w:val="8"/>
    <w:qFormat/>
    <w:uiPriority w:val="0"/>
    <w:rPr>
      <w:rFonts w:ascii="仿宋_GB2312" w:hAnsi="宋体" w:eastAsia="仿宋_GB2312" w:cs="Times New Roman"/>
      <w:bCs/>
      <w:sz w:val="18"/>
      <w:szCs w:val="28"/>
    </w:rPr>
  </w:style>
  <w:style w:type="character" w:customStyle="1" w:styleId="29">
    <w:name w:val="批注主题 字符1"/>
    <w:basedOn w:val="26"/>
    <w:semiHidden/>
    <w:qFormat/>
    <w:uiPriority w:val="99"/>
    <w:rPr>
      <w:rFonts w:ascii="仿宋_GB2312" w:hAnsi="宋体" w:eastAsia="仿宋_GB2312" w:cs="Times New Roman"/>
      <w:b/>
      <w:sz w:val="18"/>
      <w:szCs w:val="28"/>
    </w:rPr>
  </w:style>
  <w:style w:type="paragraph" w:customStyle="1" w:styleId="30">
    <w:name w:val="reader-word-layer reader-word-s1-16"/>
    <w:basedOn w:val="1"/>
    <w:qFormat/>
    <w:uiPriority w:val="0"/>
    <w:pPr>
      <w:widowControl/>
      <w:spacing w:before="100" w:beforeAutospacing="1" w:after="100" w:afterAutospacing="1"/>
      <w:jc w:val="left"/>
    </w:pPr>
    <w:rPr>
      <w:rFonts w:hint="eastAsia" w:cs="宋体"/>
      <w:bCs/>
      <w:kern w:val="0"/>
      <w:sz w:val="24"/>
      <w:szCs w:val="24"/>
    </w:rPr>
  </w:style>
  <w:style w:type="paragraph" w:styleId="31">
    <w:name w:val="List Paragraph"/>
    <w:basedOn w:val="1"/>
    <w:qFormat/>
    <w:uiPriority w:val="34"/>
    <w:pPr>
      <w:ind w:firstLine="420" w:firstLineChars="200"/>
    </w:pPr>
  </w:style>
  <w:style w:type="character" w:customStyle="1" w:styleId="32">
    <w:name w:val="正文文本缩进 2 字符"/>
    <w:basedOn w:val="14"/>
    <w:link w:val="6"/>
    <w:qFormat/>
    <w:uiPriority w:val="0"/>
    <w:rPr>
      <w:rFonts w:ascii="Times New Roman" w:hAnsi="Times New Roman" w:eastAsia="宋体" w:cs="Times New Roman"/>
      <w:szCs w:val="24"/>
    </w:rPr>
  </w:style>
  <w:style w:type="character" w:customStyle="1" w:styleId="33">
    <w:name w:val="正文文本缩进 字符"/>
    <w:basedOn w:val="14"/>
    <w:link w:val="4"/>
    <w:semiHidden/>
    <w:qFormat/>
    <w:uiPriority w:val="99"/>
    <w:rPr>
      <w:rFonts w:ascii="仿宋_GB2312" w:hAnsi="宋体" w:eastAsia="仿宋_GB2312" w:cs="Times New Roman"/>
      <w:bCs/>
      <w:sz w:val="18"/>
      <w:szCs w:val="28"/>
    </w:rPr>
  </w:style>
  <w:style w:type="character" w:customStyle="1" w:styleId="34">
    <w:name w:val="标题 1 字符"/>
    <w:basedOn w:val="14"/>
    <w:link w:val="2"/>
    <w:qFormat/>
    <w:uiPriority w:val="9"/>
    <w:rPr>
      <w:rFonts w:ascii="仿宋_GB2312" w:hAnsi="宋体" w:eastAsia="仿宋_GB2312" w:cs="Times New Roman"/>
      <w:b/>
      <w:bCs/>
      <w:kern w:val="44"/>
      <w:sz w:val="44"/>
      <w:szCs w:val="44"/>
    </w:rPr>
  </w:style>
  <w:style w:type="character" w:customStyle="1" w:styleId="35">
    <w:name w:val="日期 字符"/>
    <w:basedOn w:val="14"/>
    <w:link w:val="5"/>
    <w:semiHidden/>
    <w:qFormat/>
    <w:uiPriority w:val="99"/>
  </w:style>
  <w:style w:type="paragraph" w:customStyle="1" w:styleId="36">
    <w:name w:val="样式12"/>
    <w:basedOn w:val="1"/>
    <w:qFormat/>
    <w:uiPriority w:val="0"/>
    <w:pPr>
      <w:topLinePunct/>
      <w:adjustRightInd w:val="0"/>
      <w:snapToGrid w:val="0"/>
      <w:spacing w:line="312" w:lineRule="atLeast"/>
      <w:ind w:firstLine="420" w:firstLineChars="200"/>
    </w:pPr>
    <w:rPr>
      <w:rFonts w:hAnsi="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10090</Words>
  <Characters>10488</Characters>
  <Lines>44</Lines>
  <Paragraphs>12</Paragraphs>
  <TotalTime>19</TotalTime>
  <ScaleCrop>false</ScaleCrop>
  <LinksUpToDate>false</LinksUpToDate>
  <CharactersWithSpaces>10554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2020-03-30T01:19:00Z</dcterms:created>
  <dc:creator>马红</dc:creator>
  <cp:lastModifiedBy>WPS_1559656333</cp:lastModifiedBy>
  <cp:lastPrinted>2022-11-03T07:20:00Z</cp:lastPrinted>
  <dcterms:modified xsi:type="dcterms:W3CDTF">2023-04-27T09:20:53Z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C49CBAF9AC7E4420A9CC54D9C777CA62</vt:lpwstr>
  </property>
</Properties>
</file>