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left"/>
        <w:rPr>
          <w:rFonts w:ascii="宋体" w:cs="宋体"/>
          <w:kern w:val="0"/>
          <w:sz w:val="22"/>
        </w:rPr>
      </w:pPr>
      <w:r>
        <w:rPr>
          <w:rFonts w:ascii="宋体" w:cs="宋体"/>
          <w:kern w:val="0"/>
          <w:sz w:val="22"/>
        </w:rPr>
        <w:drawing>
          <wp:inline distT="0" distB="0" distL="0" distR="0">
            <wp:extent cx="2655570" cy="556895"/>
            <wp:effectExtent l="0" t="0" r="1143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2655570" cy="556895"/>
                    </a:xfrm>
                    <a:prstGeom prst="rect">
                      <a:avLst/>
                    </a:prstGeom>
                    <a:noFill/>
                    <a:ln w="9525" cmpd="sng">
                      <a:noFill/>
                      <a:miter lim="800000"/>
                      <a:headEnd/>
                      <a:tailEnd/>
                    </a:ln>
                  </pic:spPr>
                </pic:pic>
              </a:graphicData>
            </a:graphic>
          </wp:inline>
        </w:drawing>
      </w:r>
    </w:p>
    <w:p>
      <w:pPr>
        <w:spacing w:beforeLines="50" w:afterLines="50"/>
        <w:jc w:val="left"/>
        <w:rPr>
          <w:rFonts w:hint="eastAsia" w:ascii="宋体" w:cs="宋体"/>
          <w:kern w:val="0"/>
          <w:sz w:val="22"/>
        </w:rPr>
      </w:pPr>
    </w:p>
    <w:p>
      <w:pPr>
        <w:spacing w:beforeLines="50" w:afterLines="50"/>
        <w:jc w:val="center"/>
        <w:rPr>
          <w:rFonts w:hint="eastAsia" w:ascii="黑体" w:eastAsia="黑体" w:cs="黑体"/>
          <w:color w:val="FF0000"/>
          <w:sz w:val="96"/>
          <w:szCs w:val="96"/>
        </w:rPr>
      </w:pPr>
    </w:p>
    <w:p>
      <w:pPr>
        <w:spacing w:beforeLines="50" w:afterLines="50"/>
        <w:jc w:val="center"/>
        <w:rPr>
          <w:rFonts w:ascii="黑体" w:eastAsia="黑体"/>
          <w:color w:val="FF0000"/>
          <w:sz w:val="96"/>
          <w:szCs w:val="96"/>
        </w:rPr>
      </w:pPr>
      <w:r>
        <w:rPr>
          <w:rFonts w:hint="eastAsia" w:ascii="黑体" w:eastAsia="黑体" w:cs="黑体"/>
          <w:color w:val="FF0000"/>
          <w:sz w:val="96"/>
          <w:szCs w:val="96"/>
        </w:rPr>
        <w:t>教学督导工作简报</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黑体" w:hAnsi="黑体" w:eastAsia="黑体" w:cs="黑体"/>
          <w:b/>
          <w:bCs/>
          <w:sz w:val="52"/>
          <w:szCs w:val="52"/>
        </w:rPr>
      </w:pPr>
      <w:r>
        <w:rPr>
          <w:rFonts w:hint="eastAsia" w:ascii="黑体" w:hAnsi="黑体" w:eastAsia="黑体" w:cs="黑体"/>
          <w:b/>
          <w:bCs/>
          <w:sz w:val="52"/>
          <w:szCs w:val="52"/>
        </w:rPr>
        <w:t>2019-2020学年第一学期</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仿宋" w:hAnsi="仿宋" w:eastAsia="仿宋" w:cs="仿宋"/>
          <w:b/>
          <w:bCs/>
          <w:sz w:val="44"/>
          <w:szCs w:val="44"/>
        </w:rPr>
      </w:pPr>
      <w:r>
        <w:rPr>
          <w:rFonts w:hint="eastAsia" w:ascii="仿宋" w:hAnsi="仿宋" w:eastAsia="仿宋" w:cs="仿宋"/>
          <w:b/>
          <w:bCs/>
          <w:sz w:val="44"/>
          <w:szCs w:val="44"/>
        </w:rPr>
        <w:t>第2期(总第51期)</w:t>
      </w:r>
    </w:p>
    <w:p>
      <w:pPr>
        <w:spacing w:beforeLines="50" w:afterLines="50"/>
        <w:rPr>
          <w:rFonts w:hint="eastAsia" w:ascii="仿宋_GB2312" w:hAnsi="宋体" w:eastAsia="仿宋_GB2312" w:cs="仿宋_GB2312"/>
          <w:b/>
          <w:bCs/>
          <w:sz w:val="32"/>
          <w:szCs w:val="32"/>
        </w:rPr>
      </w:pPr>
    </w:p>
    <w:p>
      <w:pPr>
        <w:spacing w:beforeLines="50" w:afterLines="50"/>
        <w:ind w:firstLine="321" w:firstLineChars="100"/>
        <w:rPr>
          <w:rFonts w:ascii="仿宋_GB2312" w:hAnsi="宋体" w:eastAsia="仿宋_GB2312" w:cs="仿宋_GB2312"/>
          <w:b/>
          <w:bCs/>
          <w:sz w:val="32"/>
          <w:szCs w:val="32"/>
        </w:rPr>
      </w:pPr>
      <w:r>
        <w:rPr>
          <w:rFonts w:hint="eastAsia" w:ascii="仿宋_GB2312" w:hAnsi="宋体" w:eastAsia="仿宋_GB2312" w:cs="仿宋_GB2312"/>
          <w:b/>
          <w:bCs/>
          <w:sz w:val="32"/>
          <w:szCs w:val="32"/>
        </w:rPr>
        <w:t>教务处编</w:t>
      </w:r>
      <w:r>
        <w:rPr>
          <w:rFonts w:hint="eastAsia" w:ascii="仿宋_GB2312" w:hAnsi="宋体" w:eastAsia="仿宋_GB2312" w:cs="微软雅黑"/>
          <w:b/>
          <w:bCs/>
          <w:sz w:val="32"/>
          <w:szCs w:val="32"/>
        </w:rPr>
        <w:t>　</w:t>
      </w:r>
      <w:r>
        <w:rPr>
          <w:rFonts w:hint="eastAsia" w:ascii="黑体" w:hAnsi="宋体" w:eastAsia="黑体" w:cs="微软雅黑"/>
          <w:b/>
          <w:bCs/>
          <w:sz w:val="32"/>
          <w:szCs w:val="32"/>
        </w:rPr>
        <w:t xml:space="preserve">　                   </w:t>
      </w:r>
      <w:r>
        <w:rPr>
          <w:rFonts w:hint="eastAsia" w:ascii="黑体" w:hAnsi="宋体" w:eastAsia="黑体" w:cs="微软雅黑"/>
          <w:b/>
          <w:bCs/>
          <w:sz w:val="32"/>
          <w:szCs w:val="32"/>
          <w:lang w:val="en-US" w:eastAsia="zh-CN"/>
        </w:rPr>
        <w:t xml:space="preserve">         </w:t>
      </w:r>
      <w:r>
        <w:rPr>
          <w:rFonts w:hint="eastAsia" w:ascii="仿宋_GB2312" w:hAnsi="宋体" w:eastAsia="仿宋_GB2312" w:cs="仿宋_GB2312"/>
          <w:b/>
          <w:bCs/>
          <w:sz w:val="32"/>
          <w:szCs w:val="32"/>
        </w:rPr>
        <w:t>二〇一九年十月</w:t>
      </w:r>
    </w:p>
    <w:tbl>
      <w:tblPr>
        <w:tblStyle w:val="4"/>
        <w:tblW w:w="9902" w:type="dxa"/>
        <w:tblInd w:w="-106" w:type="dxa"/>
        <w:tblBorders>
          <w:top w:val="thinThick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0"/>
        <w:gridCol w:w="6872"/>
      </w:tblGrid>
      <w:tr>
        <w:tblPrEx>
          <w:tblBorders>
            <w:top w:val="thinThick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9902" w:type="dxa"/>
            <w:gridSpan w:val="2"/>
            <w:tcBorders>
              <w:top w:val="single" w:color="FF0000" w:sz="4" w:space="0"/>
              <w:left w:val="nil"/>
              <w:bottom w:val="nil"/>
              <w:right w:val="nil"/>
            </w:tcBorders>
          </w:tcPr>
          <w:p>
            <w:pPr>
              <w:spacing w:beforeLines="50" w:afterLines="50"/>
              <w:rPr>
                <w:rFonts w:ascii="方正报宋简体" w:eastAsia="方正报宋简体"/>
                <w:b/>
                <w:bCs/>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7" w:hRule="atLeast"/>
        </w:trPr>
        <w:tc>
          <w:tcPr>
            <w:tcW w:w="3030" w:type="dxa"/>
            <w:tcBorders>
              <w:top w:val="nil"/>
              <w:left w:val="nil"/>
              <w:bottom w:val="nil"/>
              <w:right w:val="nil"/>
            </w:tcBorders>
            <w:vAlign w:val="center"/>
          </w:tcPr>
          <w:p>
            <w:pPr>
              <w:spacing w:beforeLines="50" w:afterLines="50" w:line="300" w:lineRule="auto"/>
              <w:ind w:right="560" w:firstLine="280" w:firstLineChars="100"/>
              <w:rPr>
                <w:rFonts w:ascii="仿宋_GB2312" w:hAnsi="宋体" w:eastAsia="仿宋_GB2312"/>
                <w:sz w:val="28"/>
                <w:szCs w:val="28"/>
              </w:rPr>
            </w:pPr>
            <w:r>
              <w:rPr>
                <w:rFonts w:hint="eastAsia" w:ascii="仿宋_GB2312" w:hAnsi="宋体" w:eastAsia="仿宋_GB2312" w:cs="仿宋_GB2312"/>
                <w:sz w:val="28"/>
                <w:szCs w:val="28"/>
              </w:rPr>
              <w:t>主  审:马</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红</w:t>
            </w:r>
          </w:p>
        </w:tc>
        <w:tc>
          <w:tcPr>
            <w:tcW w:w="6872" w:type="dxa"/>
            <w:tcBorders>
              <w:top w:val="nil"/>
              <w:left w:val="nil"/>
              <w:bottom w:val="nil"/>
              <w:right w:val="nil"/>
            </w:tcBorders>
            <w:vAlign w:val="center"/>
          </w:tcPr>
          <w:p>
            <w:pPr>
              <w:spacing w:beforeLines="50" w:afterLines="50" w:line="300" w:lineRule="auto"/>
              <w:ind w:right="560" w:firstLine="3640" w:firstLineChars="1300"/>
              <w:rPr>
                <w:rFonts w:ascii="仿宋_GB2312" w:hAnsi="宋体" w:eastAsia="仿宋_GB2312"/>
                <w:sz w:val="28"/>
                <w:szCs w:val="28"/>
              </w:rPr>
            </w:pPr>
            <w:r>
              <w:rPr>
                <w:rFonts w:hint="eastAsia" w:ascii="仿宋_GB2312" w:hAnsi="宋体" w:eastAsia="仿宋_GB2312" w:cs="仿宋_GB2312"/>
                <w:sz w:val="28"/>
                <w:szCs w:val="28"/>
              </w:rPr>
              <w:t>主  编:</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汤孝锦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20" w:hRule="atLeast"/>
        </w:trPr>
        <w:tc>
          <w:tcPr>
            <w:tcW w:w="3030" w:type="dxa"/>
            <w:tcBorders>
              <w:top w:val="nil"/>
              <w:left w:val="nil"/>
              <w:bottom w:val="nil"/>
              <w:right w:val="nil"/>
            </w:tcBorders>
            <w:vAlign w:val="center"/>
          </w:tcPr>
          <w:p>
            <w:pPr>
              <w:spacing w:beforeLines="50" w:afterLines="50" w:line="300" w:lineRule="auto"/>
              <w:ind w:right="560" w:firstLine="280" w:firstLineChars="100"/>
              <w:rPr>
                <w:rFonts w:ascii="仿宋_GB2312" w:hAnsi="宋体" w:eastAsia="仿宋_GB2312"/>
                <w:sz w:val="28"/>
                <w:szCs w:val="28"/>
              </w:rPr>
            </w:pPr>
            <w:r>
              <w:rPr>
                <w:rFonts w:hint="eastAsia" w:ascii="仿宋_GB2312" w:hAnsi="宋体" w:eastAsia="仿宋_GB2312" w:cs="仿宋_GB2312"/>
                <w:sz w:val="28"/>
                <w:szCs w:val="28"/>
              </w:rPr>
              <w:t>副主审:张</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坚</w:t>
            </w:r>
          </w:p>
        </w:tc>
        <w:tc>
          <w:tcPr>
            <w:tcW w:w="6872" w:type="dxa"/>
            <w:tcBorders>
              <w:top w:val="nil"/>
              <w:left w:val="nil"/>
              <w:bottom w:val="nil"/>
              <w:right w:val="nil"/>
            </w:tcBorders>
            <w:vAlign w:val="center"/>
          </w:tcPr>
          <w:p>
            <w:pPr>
              <w:spacing w:beforeLines="50" w:afterLines="50" w:line="300" w:lineRule="auto"/>
              <w:ind w:right="840" w:firstLine="3640" w:firstLineChars="1300"/>
              <w:rPr>
                <w:rFonts w:ascii="仿宋_GB2312" w:hAnsi="宋体" w:eastAsia="仿宋_GB2312"/>
                <w:sz w:val="28"/>
                <w:szCs w:val="28"/>
              </w:rPr>
            </w:pPr>
            <w:r>
              <w:rPr>
                <w:rFonts w:hint="eastAsia" w:ascii="仿宋_GB2312" w:hAnsi="宋体" w:eastAsia="仿宋_GB2312" w:cs="仿宋_GB2312"/>
                <w:sz w:val="28"/>
                <w:szCs w:val="28"/>
              </w:rPr>
              <w:t>副主编</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卢惠萍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87" w:hRule="atLeast"/>
        </w:trPr>
        <w:tc>
          <w:tcPr>
            <w:tcW w:w="3030" w:type="dxa"/>
            <w:tcBorders>
              <w:top w:val="nil"/>
              <w:left w:val="nil"/>
              <w:bottom w:val="nil"/>
              <w:right w:val="nil"/>
            </w:tcBorders>
            <w:vAlign w:val="center"/>
          </w:tcPr>
          <w:p>
            <w:pPr>
              <w:spacing w:beforeLines="50" w:afterLines="50" w:line="300" w:lineRule="auto"/>
              <w:rPr>
                <w:rFonts w:ascii="仿宋_GB2312" w:hAnsi="宋体" w:eastAsia="仿宋_GB2312"/>
                <w:sz w:val="28"/>
                <w:szCs w:val="28"/>
              </w:rPr>
            </w:pPr>
          </w:p>
        </w:tc>
        <w:tc>
          <w:tcPr>
            <w:tcW w:w="6872" w:type="dxa"/>
            <w:tcBorders>
              <w:top w:val="nil"/>
              <w:left w:val="nil"/>
              <w:bottom w:val="nil"/>
              <w:right w:val="nil"/>
            </w:tcBorders>
            <w:vAlign w:val="center"/>
          </w:tcPr>
          <w:p>
            <w:pPr>
              <w:spacing w:beforeLines="50" w:afterLines="50" w:line="300" w:lineRule="auto"/>
              <w:ind w:right="560" w:firstLine="3640" w:firstLineChars="1300"/>
              <w:rPr>
                <w:rFonts w:ascii="仿宋_GB2312" w:hAnsi="宋体" w:eastAsia="仿宋_GB2312"/>
                <w:sz w:val="28"/>
                <w:szCs w:val="28"/>
              </w:rPr>
            </w:pPr>
            <w:r>
              <w:rPr>
                <w:rFonts w:hint="eastAsia" w:ascii="仿宋_GB2312" w:hAnsi="宋体" w:eastAsia="仿宋_GB2312" w:cs="仿宋_GB2312"/>
                <w:sz w:val="28"/>
                <w:szCs w:val="28"/>
              </w:rPr>
              <w:t>编  辑:</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赵兴珍</w:t>
            </w:r>
          </w:p>
        </w:tc>
      </w:tr>
    </w:tbl>
    <w:p/>
    <w:p>
      <w:pPr>
        <w:autoSpaceDE w:val="0"/>
        <w:autoSpaceDN w:val="0"/>
        <w:adjustRightInd w:val="0"/>
        <w:spacing w:before="120" w:after="120" w:line="480" w:lineRule="exact"/>
        <w:rPr>
          <w:rFonts w:hint="eastAsia" w:ascii="黑体" w:hAnsi="黑体" w:eastAsia="黑体"/>
          <w:b/>
          <w:bCs/>
          <w:spacing w:val="7"/>
          <w:sz w:val="32"/>
          <w:szCs w:val="32"/>
          <w:lang w:eastAsia="zh-CN"/>
        </w:rPr>
      </w:pPr>
      <w:r>
        <w:rPr>
          <w:rFonts w:hint="eastAsia" w:ascii="黑体" w:hAnsi="黑体" w:eastAsia="黑体"/>
          <w:b/>
          <w:bCs/>
          <w:spacing w:val="7"/>
          <w:sz w:val="32"/>
          <w:szCs w:val="32"/>
        </w:rPr>
        <w:t>专题</w:t>
      </w:r>
      <w:r>
        <w:rPr>
          <w:rFonts w:hint="eastAsia" w:ascii="黑体" w:hAnsi="黑体" w:eastAsia="黑体"/>
          <w:b/>
          <w:bCs/>
          <w:spacing w:val="7"/>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before="120" w:after="120" w:line="480" w:lineRule="exact"/>
        <w:textAlignment w:val="auto"/>
      </w:pPr>
      <w:r>
        <w:rPr>
          <w:rFonts w:hint="eastAsia" w:ascii="黑体" w:hAnsi="黑体" w:eastAsia="黑体"/>
          <w:b/>
          <w:bCs/>
          <w:spacing w:val="7"/>
          <w:sz w:val="32"/>
          <w:szCs w:val="32"/>
          <w:lang w:val="en-US" w:eastAsia="zh-CN"/>
        </w:rPr>
        <w:t>一、</w:t>
      </w:r>
      <w:r>
        <w:rPr>
          <w:rFonts w:hint="eastAsia" w:ascii="黑体" w:hAnsi="黑体" w:eastAsia="黑体"/>
          <w:b/>
          <w:bCs/>
          <w:spacing w:val="7"/>
          <w:sz w:val="32"/>
          <w:szCs w:val="32"/>
        </w:rPr>
        <w:t>2019-2020学年第一学期期中学生座谈会情况通报</w:t>
      </w:r>
    </w:p>
    <w:p>
      <w:pPr>
        <w:keepNext w:val="0"/>
        <w:keepLines w:val="0"/>
        <w:pageBreakBefore w:val="0"/>
        <w:widowControl w:val="0"/>
        <w:kinsoku/>
        <w:wordWrap/>
        <w:overflowPunct/>
        <w:topLinePunct w:val="0"/>
        <w:bidi w:val="0"/>
        <w:snapToGrid/>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2019-2020学年第一学期第7-8周新生班级学生到课率抽查情况汇总与分析</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2019-2020学年第一学期期中学生座谈会情况通报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bCs/>
          <w:sz w:val="28"/>
          <w:szCs w:val="28"/>
        </w:rPr>
      </w:pPr>
      <w:r>
        <w:rPr>
          <w:rFonts w:hint="eastAsia" w:ascii="仿宋" w:hAnsi="仿宋" w:eastAsia="仿宋" w:cs="仿宋"/>
          <w:b w:val="0"/>
          <w:bCs w:val="0"/>
          <w:sz w:val="28"/>
          <w:szCs w:val="28"/>
        </w:rPr>
        <w:t>10月22日下午，教务处联合学院教学督导委</w:t>
      </w:r>
      <w:r>
        <w:rPr>
          <w:rFonts w:hint="eastAsia" w:ascii="仿宋" w:hAnsi="仿宋" w:eastAsia="仿宋" w:cs="仿宋"/>
          <w:b w:val="0"/>
          <w:bCs w:val="0"/>
          <w:sz w:val="28"/>
          <w:szCs w:val="28"/>
          <w:lang w:val="en-US" w:eastAsia="zh-CN"/>
        </w:rPr>
        <w:t>员会</w:t>
      </w:r>
      <w:r>
        <w:rPr>
          <w:rFonts w:hint="eastAsia" w:ascii="仿宋" w:hAnsi="仿宋" w:eastAsia="仿宋" w:cs="仿宋"/>
          <w:b w:val="0"/>
          <w:bCs w:val="0"/>
          <w:sz w:val="28"/>
          <w:szCs w:val="28"/>
        </w:rPr>
        <w:t>在行政楼第三会议室，召开了期中</w:t>
      </w:r>
      <w:r>
        <w:rPr>
          <w:rFonts w:hint="eastAsia" w:ascii="仿宋" w:hAnsi="仿宋" w:eastAsia="仿宋" w:cs="仿宋"/>
          <w:b w:val="0"/>
          <w:bCs w:val="0"/>
          <w:sz w:val="28"/>
          <w:szCs w:val="28"/>
          <w:lang w:val="en-US" w:eastAsia="zh-CN"/>
        </w:rPr>
        <w:t>全校学生代表座谈会</w:t>
      </w:r>
      <w:r>
        <w:rPr>
          <w:rFonts w:hint="eastAsia" w:ascii="仿宋" w:hAnsi="仿宋" w:eastAsia="仿宋" w:cs="仿宋"/>
          <w:b/>
          <w:bCs/>
          <w:sz w:val="28"/>
          <w:szCs w:val="28"/>
        </w:rPr>
        <w:t>。</w:t>
      </w: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总体情况</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本次学生座谈会与往年相比，有以下几点显著变化：</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1.参加座谈会的学生对我校本学期任教的多数老师，给予了充分的肯定和评价，很好，没有意见，特别是学生代表们对马克思主义学院本学期开设的《思想道德修养与法律基础》课，没有提出批评意见。</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2.与往年不同，参加座谈会的学生代表普遍事先都在所在班级征求了同学们的意见。</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3.与往年不同，同学们都将注意力集中到了教学和教学条件方面，所表达的诉求都是教学方面的。</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4.同学们在表达诉求的同时，还提了一些好的建议；对于部分老师的教学现状也鲜明的提出了批评。</w:t>
      </w:r>
    </w:p>
    <w:p>
      <w:pPr>
        <w:keepNext w:val="0"/>
        <w:keepLines w:val="0"/>
        <w:pageBreakBefore w:val="0"/>
        <w:widowControl w:val="0"/>
        <w:kinsoku/>
        <w:wordWrap/>
        <w:overflowPunct/>
        <w:topLinePunct w:val="0"/>
        <w:autoSpaceDE/>
        <w:autoSpaceDN/>
        <w:bidi w:val="0"/>
        <w:adjustRightInd/>
        <w:snapToGrid/>
        <w:ind w:right="317" w:firstLine="602" w:firstLineChars="200"/>
        <w:jc w:val="lef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）学生们对以下老师的教学给予了充分的肯定和表扬</w:t>
      </w:r>
    </w:p>
    <w:p>
      <w:pPr>
        <w:keepNext w:val="0"/>
        <w:keepLines w:val="0"/>
        <w:pageBreakBefore w:val="0"/>
        <w:widowControl w:val="0"/>
        <w:kinsoku/>
        <w:wordWrap/>
        <w:overflowPunct/>
        <w:topLinePunct w:val="0"/>
        <w:autoSpaceDE/>
        <w:autoSpaceDN/>
        <w:bidi w:val="0"/>
        <w:adjustRightInd/>
        <w:snapToGrid/>
        <w:spacing w:beforeLines="100" w:afterLines="50" w:line="480" w:lineRule="exact"/>
        <w:textAlignment w:val="auto"/>
        <w:rPr>
          <w:rFonts w:hint="eastAsia" w:ascii="仿宋" w:hAnsi="仿宋" w:eastAsia="仿宋" w:cs="仿宋"/>
          <w:b w:val="0"/>
          <w:bCs w:val="0"/>
          <w:color w:val="auto"/>
          <w:sz w:val="30"/>
          <w:szCs w:val="30"/>
        </w:rPr>
      </w:pPr>
      <w:r>
        <w:rPr>
          <w:rFonts w:hint="eastAsia" w:ascii="仿宋" w:hAnsi="仿宋" w:eastAsia="仿宋" w:cs="仿宋"/>
          <w:b/>
          <w:bCs/>
          <w:sz w:val="30"/>
          <w:szCs w:val="30"/>
        </w:rPr>
        <w:t>财管学院：</w:t>
      </w:r>
      <w:r>
        <w:rPr>
          <w:rFonts w:hint="eastAsia" w:ascii="仿宋" w:hAnsi="仿宋" w:eastAsia="仿宋" w:cs="仿宋"/>
          <w:b w:val="0"/>
          <w:bCs w:val="0"/>
          <w:sz w:val="30"/>
          <w:szCs w:val="30"/>
        </w:rPr>
        <w:t>李长春、李丛、林晓梅、何忠谱、崔晓宇、杨秀玉、</w:t>
      </w:r>
      <w:r>
        <w:rPr>
          <w:rFonts w:hint="eastAsia" w:ascii="仿宋" w:hAnsi="仿宋" w:eastAsia="仿宋" w:cs="仿宋"/>
          <w:b w:val="0"/>
          <w:bCs w:val="0"/>
          <w:color w:val="auto"/>
          <w:sz w:val="30"/>
          <w:szCs w:val="30"/>
        </w:rPr>
        <w:t>黄倩雪</w:t>
      </w:r>
    </w:p>
    <w:p>
      <w:pPr>
        <w:keepNext w:val="0"/>
        <w:keepLines w:val="0"/>
        <w:pageBreakBefore w:val="0"/>
        <w:widowControl w:val="0"/>
        <w:kinsoku/>
        <w:wordWrap/>
        <w:overflowPunct/>
        <w:topLinePunct w:val="0"/>
        <w:autoSpaceDE/>
        <w:autoSpaceDN/>
        <w:bidi w:val="0"/>
        <w:adjustRightInd/>
        <w:snapToGrid/>
        <w:spacing w:beforeLines="100" w:afterLines="50" w:line="48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工程技术学院：</w:t>
      </w:r>
      <w:r>
        <w:rPr>
          <w:rFonts w:hint="eastAsia" w:ascii="仿宋" w:hAnsi="仿宋" w:eastAsia="仿宋" w:cs="仿宋"/>
          <w:b w:val="0"/>
          <w:bCs w:val="0"/>
          <w:sz w:val="30"/>
          <w:szCs w:val="30"/>
        </w:rPr>
        <w:t>康东、白有俊、颜汝南、苏思、郭鹏、严正</w:t>
      </w:r>
    </w:p>
    <w:p>
      <w:pPr>
        <w:keepNext w:val="0"/>
        <w:keepLines w:val="0"/>
        <w:pageBreakBefore w:val="0"/>
        <w:widowControl w:val="0"/>
        <w:kinsoku/>
        <w:wordWrap/>
        <w:overflowPunct/>
        <w:topLinePunct w:val="0"/>
        <w:autoSpaceDE/>
        <w:autoSpaceDN/>
        <w:bidi w:val="0"/>
        <w:adjustRightInd/>
        <w:snapToGrid/>
        <w:spacing w:beforeLines="100" w:afterLines="50" w:line="48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旅游管理学院：</w:t>
      </w:r>
      <w:r>
        <w:rPr>
          <w:rFonts w:hint="eastAsia" w:ascii="仿宋" w:hAnsi="仿宋" w:eastAsia="仿宋" w:cs="仿宋"/>
          <w:b w:val="0"/>
          <w:bCs w:val="0"/>
          <w:sz w:val="30"/>
          <w:szCs w:val="30"/>
        </w:rPr>
        <w:t>金丹、陈晓鹏、吴贤贤</w:t>
      </w:r>
    </w:p>
    <w:p>
      <w:pPr>
        <w:keepNext w:val="0"/>
        <w:keepLines w:val="0"/>
        <w:pageBreakBefore w:val="0"/>
        <w:widowControl w:val="0"/>
        <w:kinsoku/>
        <w:wordWrap/>
        <w:overflowPunct/>
        <w:topLinePunct w:val="0"/>
        <w:autoSpaceDE/>
        <w:autoSpaceDN/>
        <w:bidi w:val="0"/>
        <w:adjustRightInd/>
        <w:snapToGrid/>
        <w:spacing w:beforeLines="100" w:afterLines="50" w:line="480" w:lineRule="exact"/>
        <w:textAlignment w:val="auto"/>
        <w:rPr>
          <w:rFonts w:hint="eastAsia" w:ascii="仿宋" w:hAnsi="仿宋" w:eastAsia="仿宋" w:cs="仿宋"/>
          <w:b w:val="0"/>
          <w:bCs w:val="0"/>
          <w:sz w:val="30"/>
          <w:szCs w:val="30"/>
        </w:rPr>
      </w:pPr>
      <w:r>
        <w:rPr>
          <w:rFonts w:hint="eastAsia" w:ascii="仿宋" w:hAnsi="仿宋" w:eastAsia="仿宋" w:cs="仿宋"/>
          <w:b/>
          <w:bCs/>
          <w:sz w:val="30"/>
          <w:szCs w:val="30"/>
        </w:rPr>
        <w:t>工商管理学院：</w:t>
      </w:r>
      <w:r>
        <w:rPr>
          <w:rFonts w:hint="eastAsia" w:ascii="仿宋" w:hAnsi="仿宋" w:eastAsia="仿宋" w:cs="仿宋"/>
          <w:b w:val="0"/>
          <w:bCs w:val="0"/>
          <w:sz w:val="30"/>
          <w:szCs w:val="30"/>
        </w:rPr>
        <w:t>龙旋、吴星、李华、</w:t>
      </w:r>
      <w:r>
        <w:rPr>
          <w:rFonts w:hint="eastAsia" w:ascii="仿宋" w:hAnsi="仿宋" w:eastAsia="仿宋" w:cs="仿宋"/>
          <w:b w:val="0"/>
          <w:bCs w:val="0"/>
          <w:color w:val="auto"/>
          <w:sz w:val="30"/>
          <w:szCs w:val="30"/>
        </w:rPr>
        <w:t>李伟、</w:t>
      </w:r>
      <w:r>
        <w:rPr>
          <w:rFonts w:hint="eastAsia" w:ascii="仿宋" w:hAnsi="仿宋" w:eastAsia="仿宋" w:cs="仿宋"/>
          <w:b w:val="0"/>
          <w:bCs w:val="0"/>
          <w:sz w:val="30"/>
          <w:szCs w:val="30"/>
        </w:rPr>
        <w:t>张坚、朱彧、黄琳、郑晓玲、钟秀玉、陈珂、陈霞、董阁</w:t>
      </w:r>
    </w:p>
    <w:p>
      <w:pPr>
        <w:keepNext w:val="0"/>
        <w:keepLines w:val="0"/>
        <w:pageBreakBefore w:val="0"/>
        <w:widowControl w:val="0"/>
        <w:kinsoku/>
        <w:wordWrap/>
        <w:overflowPunct/>
        <w:topLinePunct w:val="0"/>
        <w:autoSpaceDE/>
        <w:autoSpaceDN/>
        <w:bidi w:val="0"/>
        <w:adjustRightInd/>
        <w:snapToGrid/>
        <w:spacing w:beforeLines="100" w:afterLines="50" w:line="480" w:lineRule="exact"/>
        <w:textAlignment w:val="auto"/>
        <w:rPr>
          <w:rFonts w:hint="eastAsia" w:ascii="仿宋" w:hAnsi="仿宋" w:eastAsia="仿宋" w:cs="仿宋"/>
          <w:b w:val="0"/>
          <w:bCs w:val="0"/>
          <w:sz w:val="30"/>
          <w:szCs w:val="30"/>
        </w:rPr>
      </w:pPr>
      <w:r>
        <w:rPr>
          <w:rFonts w:hint="eastAsia" w:ascii="仿宋" w:hAnsi="仿宋" w:eastAsia="仿宋" w:cs="仿宋"/>
          <w:b/>
          <w:bCs/>
          <w:sz w:val="30"/>
          <w:szCs w:val="30"/>
        </w:rPr>
        <w:t>国际教育学院：</w:t>
      </w:r>
      <w:r>
        <w:rPr>
          <w:rFonts w:hint="eastAsia" w:ascii="仿宋" w:hAnsi="仿宋" w:eastAsia="仿宋" w:cs="仿宋"/>
          <w:b w:val="0"/>
          <w:bCs w:val="0"/>
          <w:sz w:val="30"/>
          <w:szCs w:val="30"/>
        </w:rPr>
        <w:t>谢玉荣、李春怡、吴春菊、韩望、李琳、徐卫平、沈国飞、唐灿、杨晴、王欢欢、张小曼</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朱琳</w:t>
      </w:r>
    </w:p>
    <w:p>
      <w:pPr>
        <w:keepNext w:val="0"/>
        <w:keepLines w:val="0"/>
        <w:pageBreakBefore w:val="0"/>
        <w:widowControl w:val="0"/>
        <w:kinsoku/>
        <w:wordWrap/>
        <w:overflowPunct/>
        <w:topLinePunct w:val="0"/>
        <w:autoSpaceDE/>
        <w:autoSpaceDN/>
        <w:bidi w:val="0"/>
        <w:adjustRightInd/>
        <w:snapToGrid/>
        <w:spacing w:beforeLines="100" w:afterLines="50" w:line="480" w:lineRule="exact"/>
        <w:textAlignment w:val="auto"/>
        <w:rPr>
          <w:rFonts w:hint="eastAsia" w:ascii="仿宋" w:hAnsi="仿宋" w:eastAsia="仿宋" w:cs="仿宋"/>
          <w:b w:val="0"/>
          <w:bCs w:val="0"/>
          <w:sz w:val="30"/>
          <w:szCs w:val="30"/>
        </w:rPr>
      </w:pPr>
      <w:r>
        <w:rPr>
          <w:rFonts w:hint="eastAsia" w:ascii="仿宋" w:hAnsi="仿宋" w:eastAsia="仿宋" w:cs="仿宋"/>
          <w:b/>
          <w:bCs/>
          <w:sz w:val="30"/>
          <w:szCs w:val="30"/>
        </w:rPr>
        <w:t>马克思主义学院：</w:t>
      </w:r>
      <w:r>
        <w:rPr>
          <w:rFonts w:hint="eastAsia" w:ascii="仿宋" w:hAnsi="仿宋" w:eastAsia="仿宋" w:cs="仿宋"/>
          <w:b w:val="0"/>
          <w:bCs w:val="0"/>
          <w:sz w:val="30"/>
          <w:szCs w:val="30"/>
        </w:rPr>
        <w:t>陈娇</w:t>
      </w:r>
    </w:p>
    <w:p>
      <w:pPr>
        <w:keepNext w:val="0"/>
        <w:keepLines w:val="0"/>
        <w:pageBreakBefore w:val="0"/>
        <w:widowControl w:val="0"/>
        <w:kinsoku/>
        <w:wordWrap/>
        <w:overflowPunct/>
        <w:topLinePunct w:val="0"/>
        <w:autoSpaceDE/>
        <w:autoSpaceDN/>
        <w:bidi w:val="0"/>
        <w:adjustRightInd/>
        <w:snapToGrid/>
        <w:spacing w:beforeLines="100" w:afterLines="50" w:line="480" w:lineRule="exact"/>
        <w:textAlignment w:val="auto"/>
        <w:rPr>
          <w:rFonts w:hint="default" w:ascii="仿宋" w:hAnsi="仿宋" w:eastAsia="仿宋" w:cs="仿宋"/>
          <w:b w:val="0"/>
          <w:bCs w:val="0"/>
          <w:sz w:val="30"/>
          <w:szCs w:val="30"/>
          <w:lang w:val="en-US" w:eastAsia="zh-CN"/>
        </w:rPr>
      </w:pPr>
      <w:r>
        <w:rPr>
          <w:rFonts w:hint="eastAsia" w:ascii="仿宋" w:hAnsi="仿宋" w:eastAsia="仿宋" w:cs="仿宋"/>
          <w:b/>
          <w:bCs/>
          <w:sz w:val="30"/>
          <w:szCs w:val="30"/>
        </w:rPr>
        <w:t>人文艺术学院：</w:t>
      </w:r>
      <w:r>
        <w:rPr>
          <w:rFonts w:hint="eastAsia" w:ascii="仿宋" w:hAnsi="仿宋" w:eastAsia="仿宋" w:cs="仿宋"/>
          <w:b w:val="0"/>
          <w:bCs w:val="0"/>
          <w:sz w:val="30"/>
          <w:szCs w:val="30"/>
        </w:rPr>
        <w:t>田飞、张丹丹、刘首含、曾婷、张馨月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陶海洲</w:t>
      </w:r>
    </w:p>
    <w:p>
      <w:pPr>
        <w:ind w:firstLine="301" w:firstLineChars="100"/>
        <w:rPr>
          <w:rFonts w:hint="eastAsia" w:ascii="仿宋" w:hAnsi="仿宋" w:eastAsia="仿宋" w:cs="仿宋"/>
          <w:b/>
          <w:bCs/>
          <w:sz w:val="30"/>
          <w:szCs w:val="30"/>
          <w:lang w:eastAsia="zh-CN"/>
        </w:rPr>
      </w:pPr>
    </w:p>
    <w:p>
      <w:pPr>
        <w:ind w:firstLine="301" w:firstLineChars="1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lang w:eastAsia="zh-CN"/>
        </w:rPr>
        <w:t>）学生们较集中的反映了以下问题，希望引起学校高度注意：</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部分老师课堂教学滿堂灌现象严重，课堂没有互动，老师不管学生听不听课，从头讲到尾，课堂十分沉闷。</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部分老师上课照</w:t>
      </w:r>
      <w:r>
        <w:rPr>
          <w:rFonts w:hint="eastAsia" w:ascii="仿宋" w:hAnsi="仿宋" w:eastAsia="仿宋" w:cs="仿宋"/>
          <w:b w:val="0"/>
          <w:bCs w:val="0"/>
          <w:sz w:val="28"/>
          <w:szCs w:val="28"/>
          <w:lang w:val="en-US" w:eastAsia="zh-CN"/>
        </w:rPr>
        <w:t>PPT</w:t>
      </w:r>
      <w:r>
        <w:rPr>
          <w:rFonts w:hint="eastAsia" w:ascii="仿宋" w:hAnsi="仿宋" w:eastAsia="仿宋" w:cs="仿宋"/>
          <w:b w:val="0"/>
          <w:bCs w:val="0"/>
          <w:sz w:val="28"/>
          <w:szCs w:val="28"/>
          <w:lang w:eastAsia="zh-CN"/>
        </w:rPr>
        <w:t>念现象严重，老师只是将教材内容复制粘贴到</w:t>
      </w:r>
      <w:r>
        <w:rPr>
          <w:rFonts w:hint="eastAsia" w:ascii="仿宋" w:hAnsi="仿宋" w:eastAsia="仿宋" w:cs="仿宋"/>
          <w:b w:val="0"/>
          <w:bCs w:val="0"/>
          <w:sz w:val="28"/>
          <w:szCs w:val="28"/>
          <w:lang w:val="en-US" w:eastAsia="zh-CN"/>
        </w:rPr>
        <w:t>PPT</w:t>
      </w:r>
      <w:r>
        <w:rPr>
          <w:rFonts w:hint="eastAsia" w:ascii="仿宋" w:hAnsi="仿宋" w:eastAsia="仿宋" w:cs="仿宋"/>
          <w:b w:val="0"/>
          <w:bCs w:val="0"/>
          <w:sz w:val="28"/>
          <w:szCs w:val="28"/>
          <w:lang w:eastAsia="zh-CN"/>
        </w:rPr>
        <w:t>上，教学十分枯燥无味。</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eastAsia="zh-CN"/>
        </w:rPr>
        <w:t>部分老师对课堂上玩手机和睡觉的同学不管不顾；课堂提问只是针对部分喜欢发言的同学。</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同学们十分不满部分老师的课是3节以上</w:t>
      </w:r>
      <w:r>
        <w:rPr>
          <w:rFonts w:hint="eastAsia" w:ascii="仿宋" w:hAnsi="仿宋" w:eastAsia="仿宋" w:cs="仿宋"/>
          <w:b w:val="0"/>
          <w:bCs w:val="0"/>
          <w:sz w:val="28"/>
          <w:szCs w:val="28"/>
          <w:lang w:val="en-US" w:eastAsia="zh-CN"/>
        </w:rPr>
        <w:t>连堂上</w:t>
      </w:r>
      <w:r>
        <w:rPr>
          <w:rFonts w:hint="eastAsia" w:ascii="仿宋" w:hAnsi="仿宋" w:eastAsia="仿宋" w:cs="仿宋"/>
          <w:b w:val="0"/>
          <w:bCs w:val="0"/>
          <w:sz w:val="28"/>
          <w:szCs w:val="28"/>
          <w:lang w:eastAsia="zh-CN"/>
        </w:rPr>
        <w:t>（有的老师甚至从下午第5节课上到晚上第9节课），老师疲惫，学生也疲惫。</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lang w:eastAsia="zh-CN"/>
        </w:rPr>
        <w:t>教材问题本学期比较严重，一是很多班级的很多教材没有按时发到学生手里，个别班级至今（10月22日）还有一本教材没有发到学生手里；二是个别班级的个别教材存在以旧充新的情况。</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lang w:eastAsia="zh-CN"/>
        </w:rPr>
        <w:t>很多同学建议学校增开英语选修课和课余时间开放公共语音室</w:t>
      </w:r>
      <w:r>
        <w:rPr>
          <w:rFonts w:hint="eastAsia" w:ascii="仿宋" w:hAnsi="仿宋" w:eastAsia="仿宋" w:cs="仿宋"/>
          <w:b w:val="0"/>
          <w:bCs w:val="0"/>
          <w:sz w:val="28"/>
          <w:szCs w:val="28"/>
          <w:lang w:val="en-US" w:eastAsia="zh-CN"/>
        </w:rPr>
        <w:t>或机房</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lang w:eastAsia="zh-CN"/>
        </w:rPr>
        <w:t>同学们对教室的电教设备和实训室内的电脑等电器设备看法较大，认为老是坏，不能使用，从而严重影响教学。</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ascii="仿宋_GB2312" w:hAnsi="宋体" w:eastAsia="仿宋_GB2312" w:cs="Times New Roman"/>
          <w:b w:val="0"/>
          <w:bCs w:val="0"/>
          <w:color w:val="000000"/>
          <w:kern w:val="0"/>
          <w:sz w:val="28"/>
          <w:szCs w:val="28"/>
        </w:rPr>
      </w:pP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lang w:eastAsia="zh-CN"/>
        </w:rPr>
        <w:t>同学们普遍反映1号教学楼大教室和阶梯教室椅子损坏较多。</w:t>
      </w:r>
    </w:p>
    <w:p>
      <w:pPr>
        <w:ind w:firstLine="602" w:firstLineChars="200"/>
        <w:rPr>
          <w:rFonts w:hint="eastAsia" w:ascii="黑体" w:hAnsi="黑体" w:eastAsia="黑体" w:cs="黑体"/>
          <w:b/>
          <w:bCs/>
          <w:sz w:val="30"/>
          <w:szCs w:val="30"/>
          <w:lang w:val="en-US" w:eastAsia="zh-CN"/>
        </w:rPr>
      </w:pPr>
    </w:p>
    <w:p>
      <w:pPr>
        <w:ind w:firstLine="602" w:firstLineChars="200"/>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ind w:firstLine="602" w:firstLineChars="200"/>
        <w:rPr>
          <w:rFonts w:hint="eastAsia" w:ascii="黑体" w:hAnsi="黑体" w:eastAsia="黑体" w:cs="黑体"/>
          <w:b/>
          <w:bCs/>
          <w:sz w:val="30"/>
          <w:szCs w:val="30"/>
        </w:rPr>
      </w:pPr>
      <w:r>
        <w:rPr>
          <w:rFonts w:hint="eastAsia" w:ascii="黑体" w:hAnsi="黑体" w:eastAsia="黑体" w:cs="黑体"/>
          <w:b/>
          <w:bCs/>
          <w:sz w:val="30"/>
          <w:szCs w:val="30"/>
          <w:lang w:val="en-US" w:eastAsia="zh-CN"/>
        </w:rPr>
        <w:t>二、</w:t>
      </w:r>
      <w:r>
        <w:rPr>
          <w:rFonts w:hint="eastAsia" w:ascii="黑体" w:hAnsi="黑体" w:eastAsia="黑体" w:cs="黑体"/>
          <w:b/>
          <w:bCs/>
          <w:sz w:val="30"/>
          <w:szCs w:val="30"/>
        </w:rPr>
        <w:t>2019</w:t>
      </w:r>
      <w:r>
        <w:rPr>
          <w:rFonts w:hint="eastAsia" w:ascii="黑体" w:hAnsi="黑体" w:eastAsia="黑体" w:cs="黑体"/>
          <w:b/>
          <w:bCs/>
          <w:sz w:val="30"/>
          <w:szCs w:val="30"/>
          <w:lang w:val="en-US" w:eastAsia="zh-CN"/>
        </w:rPr>
        <w:t>-</w:t>
      </w:r>
      <w:r>
        <w:rPr>
          <w:rFonts w:hint="eastAsia" w:ascii="黑体" w:hAnsi="黑体" w:eastAsia="黑体" w:cs="黑体"/>
          <w:b/>
          <w:bCs/>
          <w:sz w:val="30"/>
          <w:szCs w:val="30"/>
        </w:rPr>
        <w:t>2020学年第一学期第7-8周新生班级学生到课率抽查情况汇总与分析</w:t>
      </w:r>
    </w:p>
    <w:p>
      <w:pPr>
        <w:ind w:firstLine="301" w:firstLineChars="1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）总体情况</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学校督导委于本学期第7-8周对全校有课的新生131个班级的到课率，进行了随机抽查，抽查覆盖率为100%。</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本次随堂抽查结果显示：我校新生班级学生平均到课率为98.75%。</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本次班级学院到课率抽查结果显示：</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（1）到课率100%的班级有102个，占总数的78%；</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（2）到课率90%以上的班级有125个，占总数的96%；</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（3）19景观设计1班到课率为78.26%，全校最低；</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（4）本学期新增7个本科班，学生平均到课率全部达到100%：</w:t>
      </w:r>
    </w:p>
    <w:tbl>
      <w:tblPr>
        <w:tblStyle w:val="4"/>
        <w:tblW w:w="9071" w:type="dxa"/>
        <w:jc w:val="center"/>
        <w:tblInd w:w="0" w:type="dxa"/>
        <w:shd w:val="clear" w:color="auto" w:fill="auto"/>
        <w:tblLayout w:type="fixed"/>
        <w:tblCellMar>
          <w:top w:w="0" w:type="dxa"/>
          <w:left w:w="0" w:type="dxa"/>
          <w:bottom w:w="0" w:type="dxa"/>
          <w:right w:w="0" w:type="dxa"/>
        </w:tblCellMar>
      </w:tblPr>
      <w:tblGrid>
        <w:gridCol w:w="966"/>
        <w:gridCol w:w="2826"/>
        <w:gridCol w:w="1686"/>
        <w:gridCol w:w="2019"/>
        <w:gridCol w:w="1574"/>
      </w:tblGrid>
      <w:tr>
        <w:tblPrEx>
          <w:tblLayout w:type="fixed"/>
          <w:tblCellMar>
            <w:top w:w="0" w:type="dxa"/>
            <w:left w:w="0" w:type="dxa"/>
            <w:bottom w:w="0" w:type="dxa"/>
            <w:right w:w="0" w:type="dxa"/>
          </w:tblCellMar>
        </w:tblPrEx>
        <w:trPr>
          <w:trHeight w:val="227"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5A5A5"/>
            <w:noWrap/>
            <w:tcMar>
              <w:top w:w="15" w:type="dxa"/>
              <w:left w:w="15" w:type="dxa"/>
              <w:right w:w="15" w:type="dxa"/>
            </w:tcMar>
            <w:vAlign w:val="bottom"/>
          </w:tcPr>
          <w:p>
            <w:pPr>
              <w:keepNext w:val="0"/>
              <w:keepLines w:val="0"/>
              <w:widowControl/>
              <w:suppressLineNumbers w:val="0"/>
              <w:jc w:val="center"/>
              <w:textAlignment w:val="bottom"/>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2826" w:type="dxa"/>
            <w:tcBorders>
              <w:top w:val="single" w:color="000000" w:sz="4" w:space="0"/>
              <w:left w:val="single" w:color="000000" w:sz="4" w:space="0"/>
              <w:bottom w:val="single" w:color="000000" w:sz="4" w:space="0"/>
              <w:right w:val="single" w:color="000000" w:sz="4" w:space="0"/>
            </w:tcBorders>
            <w:shd w:val="clear" w:color="auto" w:fill="A5A5A5"/>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班级</w:t>
            </w:r>
          </w:p>
        </w:tc>
        <w:tc>
          <w:tcPr>
            <w:tcW w:w="1686" w:type="dxa"/>
            <w:tcBorders>
              <w:top w:val="single" w:color="000000" w:sz="4" w:space="0"/>
              <w:left w:val="single" w:color="000000" w:sz="4" w:space="0"/>
              <w:bottom w:val="single" w:color="000000" w:sz="4" w:space="0"/>
              <w:right w:val="single" w:color="000000" w:sz="4" w:space="0"/>
            </w:tcBorders>
            <w:shd w:val="clear" w:color="auto" w:fill="A5A5A5"/>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到课率</w:t>
            </w:r>
          </w:p>
        </w:tc>
        <w:tc>
          <w:tcPr>
            <w:tcW w:w="2019" w:type="dxa"/>
            <w:tcBorders>
              <w:top w:val="single" w:color="000000" w:sz="4" w:space="0"/>
              <w:left w:val="single" w:color="000000" w:sz="4" w:space="0"/>
              <w:bottom w:val="single" w:color="000000" w:sz="4" w:space="0"/>
              <w:right w:val="single" w:color="000000" w:sz="4" w:space="0"/>
            </w:tcBorders>
            <w:shd w:val="clear" w:color="auto" w:fill="A5A5A5"/>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所属学院</w:t>
            </w:r>
          </w:p>
        </w:tc>
        <w:tc>
          <w:tcPr>
            <w:tcW w:w="1574" w:type="dxa"/>
            <w:tcBorders>
              <w:top w:val="single" w:color="000000" w:sz="4" w:space="0"/>
              <w:left w:val="single" w:color="000000" w:sz="4" w:space="0"/>
              <w:bottom w:val="single" w:color="000000" w:sz="4" w:space="0"/>
              <w:right w:val="single" w:color="000000" w:sz="4" w:space="0"/>
            </w:tcBorders>
            <w:shd w:val="clear" w:color="auto" w:fill="A5A5A5"/>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315"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19金融4+0本科</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财务管理学院</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285"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19财管4+0本科</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财务管理学院</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285"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19会计3+2本科</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财务管理学院</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285"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19旅游管理本科1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旅游管理学院</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285"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19旅游管理本科2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旅游管理学院</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285"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19物流管理本科1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工商管理学院</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285" w:hRule="atLeast"/>
          <w:jc w:val="center"/>
        </w:trPr>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19物流管理本科2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工商管理学院</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 w:hAnsi="仿宋" w:eastAsia="仿宋" w:cs="仿宋"/>
                <w:i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469" w:beforeLines="150"/>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本次抽查结果显示：</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（1）旅游管理学院新生班级学生平均到课率为100%，夺得全校第一，是继工程技术学院（2018-2019年第一学期）后，第二个新生到课率达到100%的学院。</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（2）人文艺术学院新生班级学生平均到课率为95.95%，全校排名第六。</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（3）人文艺术学院和工商管理学院新生班级学生到课率均低于全校平均到课率。</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（4）各二级学院到课率100%班级比例：</w:t>
      </w:r>
    </w:p>
    <w:tbl>
      <w:tblPr>
        <w:tblStyle w:val="5"/>
        <w:tblpPr w:leftFromText="180" w:rightFromText="180" w:vertAnchor="text" w:horzAnchor="margin" w:tblpXSpec="center" w:tblpY="67"/>
        <w:tblW w:w="90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8"/>
        <w:gridCol w:w="2250"/>
        <w:gridCol w:w="1627"/>
        <w:gridCol w:w="1589"/>
        <w:gridCol w:w="1630"/>
        <w:gridCol w:w="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 w:hRule="atLeast"/>
          <w:jc w:val="center"/>
        </w:trPr>
        <w:tc>
          <w:tcPr>
            <w:tcW w:w="978" w:type="dxa"/>
            <w:shd w:val="clear" w:color="auto" w:fill="63B86C" w:themeFill="background1" w:themeFillShade="A6"/>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250" w:type="dxa"/>
            <w:shd w:val="clear" w:color="auto" w:fill="63B86C" w:themeFill="background1" w:themeFillShade="A6"/>
            <w:vAlign w:val="center"/>
          </w:tcPr>
          <w:p>
            <w:pPr>
              <w:jc w:val="center"/>
              <w:rPr>
                <w:rFonts w:hint="eastAsia" w:ascii="仿宋" w:hAnsi="仿宋" w:eastAsia="仿宋" w:cs="仿宋"/>
                <w:sz w:val="24"/>
                <w:szCs w:val="24"/>
              </w:rPr>
            </w:pPr>
            <w:r>
              <w:rPr>
                <w:rFonts w:hint="eastAsia" w:ascii="仿宋" w:hAnsi="仿宋" w:eastAsia="仿宋" w:cs="仿宋"/>
                <w:sz w:val="24"/>
                <w:szCs w:val="24"/>
              </w:rPr>
              <w:t>学院</w:t>
            </w:r>
          </w:p>
        </w:tc>
        <w:tc>
          <w:tcPr>
            <w:tcW w:w="1627" w:type="dxa"/>
            <w:shd w:val="clear" w:color="auto" w:fill="63B86C" w:themeFill="background1" w:themeFillShade="A6"/>
            <w:vAlign w:val="center"/>
          </w:tcPr>
          <w:p>
            <w:pPr>
              <w:jc w:val="center"/>
              <w:rPr>
                <w:rFonts w:hint="eastAsia" w:ascii="仿宋" w:hAnsi="仿宋" w:eastAsia="仿宋" w:cs="仿宋"/>
                <w:sz w:val="24"/>
                <w:szCs w:val="24"/>
              </w:rPr>
            </w:pPr>
            <w:r>
              <w:rPr>
                <w:rFonts w:hint="eastAsia" w:ascii="仿宋" w:hAnsi="仿宋" w:eastAsia="仿宋" w:cs="仿宋"/>
                <w:sz w:val="24"/>
                <w:szCs w:val="24"/>
              </w:rPr>
              <w:t>班级总数</w:t>
            </w:r>
          </w:p>
        </w:tc>
        <w:tc>
          <w:tcPr>
            <w:tcW w:w="1589" w:type="dxa"/>
            <w:shd w:val="clear" w:color="auto" w:fill="63B86C" w:themeFill="background1" w:themeFillShade="A6"/>
            <w:vAlign w:val="center"/>
          </w:tcPr>
          <w:p>
            <w:pPr>
              <w:jc w:val="center"/>
              <w:rPr>
                <w:rFonts w:hint="eastAsia" w:ascii="仿宋" w:hAnsi="仿宋" w:eastAsia="仿宋" w:cs="仿宋"/>
                <w:sz w:val="24"/>
                <w:szCs w:val="24"/>
              </w:rPr>
            </w:pPr>
            <w:r>
              <w:rPr>
                <w:rFonts w:hint="eastAsia" w:ascii="仿宋" w:hAnsi="仿宋" w:eastAsia="仿宋" w:cs="仿宋"/>
                <w:sz w:val="24"/>
                <w:szCs w:val="24"/>
              </w:rPr>
              <w:t>100%班级数</w:t>
            </w:r>
          </w:p>
        </w:tc>
        <w:tc>
          <w:tcPr>
            <w:tcW w:w="1630" w:type="dxa"/>
            <w:shd w:val="clear" w:color="auto" w:fill="63B86C" w:themeFill="background1" w:themeFillShade="A6"/>
            <w:vAlign w:val="center"/>
          </w:tcPr>
          <w:p>
            <w:pPr>
              <w:jc w:val="center"/>
              <w:rPr>
                <w:rFonts w:hint="eastAsia" w:ascii="仿宋" w:hAnsi="仿宋" w:eastAsia="仿宋" w:cs="仿宋"/>
                <w:sz w:val="24"/>
                <w:szCs w:val="24"/>
              </w:rPr>
            </w:pPr>
            <w:r>
              <w:rPr>
                <w:rFonts w:hint="eastAsia" w:ascii="仿宋" w:hAnsi="仿宋" w:eastAsia="仿宋" w:cs="仿宋"/>
                <w:sz w:val="24"/>
                <w:szCs w:val="24"/>
              </w:rPr>
              <w:t>占总数比例%</w:t>
            </w:r>
          </w:p>
        </w:tc>
        <w:tc>
          <w:tcPr>
            <w:tcW w:w="998" w:type="dxa"/>
            <w:shd w:val="clear" w:color="auto" w:fill="63B86C" w:themeFill="background1" w:themeFillShade="A6"/>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 w:hRule="atLeast"/>
          <w:jc w:val="center"/>
        </w:trPr>
        <w:tc>
          <w:tcPr>
            <w:tcW w:w="9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2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旅游管理学院</w:t>
            </w:r>
          </w:p>
        </w:tc>
        <w:tc>
          <w:tcPr>
            <w:tcW w:w="16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15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16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998"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22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工程技术学院</w:t>
            </w:r>
          </w:p>
        </w:tc>
        <w:tc>
          <w:tcPr>
            <w:tcW w:w="16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23</w:t>
            </w:r>
          </w:p>
        </w:tc>
        <w:tc>
          <w:tcPr>
            <w:tcW w:w="15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22</w:t>
            </w:r>
          </w:p>
        </w:tc>
        <w:tc>
          <w:tcPr>
            <w:tcW w:w="16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96%</w:t>
            </w:r>
          </w:p>
        </w:tc>
        <w:tc>
          <w:tcPr>
            <w:tcW w:w="998"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22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国际教育学院</w:t>
            </w:r>
          </w:p>
        </w:tc>
        <w:tc>
          <w:tcPr>
            <w:tcW w:w="16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15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16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92%</w:t>
            </w:r>
          </w:p>
        </w:tc>
        <w:tc>
          <w:tcPr>
            <w:tcW w:w="998"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22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财务管理学院</w:t>
            </w:r>
          </w:p>
        </w:tc>
        <w:tc>
          <w:tcPr>
            <w:tcW w:w="16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43</w:t>
            </w:r>
          </w:p>
        </w:tc>
        <w:tc>
          <w:tcPr>
            <w:tcW w:w="15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31</w:t>
            </w:r>
          </w:p>
        </w:tc>
        <w:tc>
          <w:tcPr>
            <w:tcW w:w="16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72%</w:t>
            </w:r>
          </w:p>
        </w:tc>
        <w:tc>
          <w:tcPr>
            <w:tcW w:w="998"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22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工商管理学院</w:t>
            </w:r>
          </w:p>
        </w:tc>
        <w:tc>
          <w:tcPr>
            <w:tcW w:w="16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18</w:t>
            </w:r>
          </w:p>
        </w:tc>
        <w:tc>
          <w:tcPr>
            <w:tcW w:w="15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16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61%</w:t>
            </w:r>
          </w:p>
        </w:tc>
        <w:tc>
          <w:tcPr>
            <w:tcW w:w="998" w:type="dxa"/>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7" w:hRule="atLeast"/>
          <w:jc w:val="center"/>
        </w:trPr>
        <w:tc>
          <w:tcPr>
            <w:tcW w:w="9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2250" w:type="dxa"/>
            <w:vAlign w:val="center"/>
          </w:tcPr>
          <w:p>
            <w:pPr>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人文艺术学院</w:t>
            </w:r>
          </w:p>
        </w:tc>
        <w:tc>
          <w:tcPr>
            <w:tcW w:w="16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c>
          <w:tcPr>
            <w:tcW w:w="15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163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60%</w:t>
            </w:r>
          </w:p>
        </w:tc>
        <w:tc>
          <w:tcPr>
            <w:tcW w:w="998" w:type="dxa"/>
            <w:vAlign w:val="center"/>
          </w:tcPr>
          <w:p>
            <w:pPr>
              <w:jc w:val="center"/>
              <w:rPr>
                <w:rFonts w:hint="eastAsia" w:ascii="仿宋" w:hAnsi="仿宋" w:eastAsia="仿宋" w:cs="仿宋"/>
                <w:sz w:val="24"/>
                <w:szCs w:val="24"/>
              </w:rPr>
            </w:pPr>
          </w:p>
        </w:tc>
      </w:tr>
    </w:tbl>
    <w:p>
      <w:pPr>
        <w:ind w:firstLine="560" w:firstLineChars="200"/>
        <w:rPr>
          <w:rFonts w:hint="eastAsia" w:ascii="仿宋" w:hAnsi="仿宋" w:eastAsia="仿宋" w:cs="仿宋"/>
          <w:sz w:val="28"/>
          <w:szCs w:val="28"/>
          <w:lang w:eastAsia="zh-CN"/>
        </w:rPr>
      </w:pPr>
    </w:p>
    <w:p>
      <w:pPr>
        <w:ind w:firstLine="301" w:firstLineChars="1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）数据对比</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本次抽查结果显示：</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（1）我校新生班级学生平均到课率为98.75；去年同期是96.88%，提高近二个百分点；前年同期是97.79%，提高近一个百分点。</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（2）本次新生班级学生到课率低于90%的班级有5个；去年同期低于90%的班级有6个；前年同期低于90%的班级有8个,好于去年和前年同期。</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（3）今年新生本科有7个班级学生到课率全部达到100%；去年同期本科有8个班级，只有2个班级的学生到课率达到100%；前年同期有7个本科班级，只有3个本科班级学生到课率达到100%，好于去年和前年同期。</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（4）旅游管理学院去年同期新生到课率为91.28%，全校排名第六；本次100%，全校排名第一，提升幅度很大。</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（5）本次新生班级学生到课率最低为78.26%，去年同期除留学生班级外，18连锁1班最低，为76.47%，前年同期是17体管2班，为65.40%，好于去年和前年同期。</w:t>
      </w:r>
    </w:p>
    <w:p>
      <w:pPr>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lang w:eastAsia="zh-CN"/>
        </w:rPr>
        <w:t>）问题与建议</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问题</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（1）我校新生到课率连续四年未达到100%。</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2016-2017学年为97.05%；  2017-2018学年为97.79%；</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2018-2019学年为96.88%；  2019-2020学年为98.75%；</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工商管理学院和人文艺术学院新生班级学生平均到课率均低于全校平均到课率；</w:t>
      </w:r>
    </w:p>
    <w:p>
      <w:pPr>
        <w:keepNext w:val="0"/>
        <w:keepLines w:val="0"/>
        <w:pageBreakBefore w:val="0"/>
        <w:widowControl w:val="0"/>
        <w:kinsoku/>
        <w:wordWrap/>
        <w:overflowPunct/>
        <w:topLinePunct w:val="0"/>
        <w:autoSpaceDE/>
        <w:autoSpaceDN/>
        <w:bidi w:val="0"/>
        <w:adjustRightInd/>
        <w:snapToGrid/>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第2周班级学生到课率抽查，工商管理学院和人文艺术学院也低于全校平均到课率。</w:t>
      </w:r>
    </w:p>
    <w:p>
      <w:pPr>
        <w:keepNext w:val="0"/>
        <w:keepLines w:val="0"/>
        <w:pageBreakBefore w:val="0"/>
        <w:widowControl w:val="0"/>
        <w:kinsoku/>
        <w:wordWrap/>
        <w:overflowPunct/>
        <w:topLinePunct w:val="0"/>
        <w:autoSpaceDE/>
        <w:autoSpaceDN/>
        <w:bidi w:val="0"/>
        <w:adjustRightInd/>
        <w:snapToGrid/>
        <w:spacing w:after="157" w:afterLines="50"/>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（3）各二级学院第新生班级学生平均到课率最低的班级名单：</w:t>
      </w:r>
    </w:p>
    <w:tbl>
      <w:tblPr>
        <w:tblStyle w:val="4"/>
        <w:tblW w:w="9068" w:type="dxa"/>
        <w:jc w:val="center"/>
        <w:tblInd w:w="-353" w:type="dxa"/>
        <w:shd w:val="clear" w:color="auto" w:fill="auto"/>
        <w:tblLayout w:type="fixed"/>
        <w:tblCellMar>
          <w:top w:w="0" w:type="dxa"/>
          <w:left w:w="0" w:type="dxa"/>
          <w:bottom w:w="0" w:type="dxa"/>
          <w:right w:w="0" w:type="dxa"/>
        </w:tblCellMar>
      </w:tblPr>
      <w:tblGrid>
        <w:gridCol w:w="846"/>
        <w:gridCol w:w="2127"/>
        <w:gridCol w:w="2291"/>
        <w:gridCol w:w="2004"/>
        <w:gridCol w:w="1800"/>
      </w:tblGrid>
      <w:tr>
        <w:tblPrEx>
          <w:shd w:val="clear" w:color="auto" w:fill="auto"/>
          <w:tblLayout w:type="fixed"/>
          <w:tblCellMar>
            <w:top w:w="0" w:type="dxa"/>
            <w:left w:w="0" w:type="dxa"/>
            <w:bottom w:w="0" w:type="dxa"/>
            <w:right w:w="0" w:type="dxa"/>
          </w:tblCellMar>
        </w:tblPrEx>
        <w:trPr>
          <w:trHeight w:val="300" w:hRule="atLeast"/>
          <w:jc w:val="center"/>
        </w:trPr>
        <w:tc>
          <w:tcPr>
            <w:tcW w:w="846" w:type="dxa"/>
            <w:tcBorders>
              <w:top w:val="single" w:color="000000" w:sz="8" w:space="0"/>
              <w:left w:val="single" w:color="000000" w:sz="8" w:space="0"/>
              <w:bottom w:val="single" w:color="000000" w:sz="8" w:space="0"/>
              <w:right w:val="single" w:color="000000" w:sz="8" w:space="0"/>
            </w:tcBorders>
            <w:shd w:val="clear" w:color="auto" w:fill="A5A5A5"/>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2127" w:type="dxa"/>
            <w:tcBorders>
              <w:top w:val="single" w:color="000000" w:sz="8" w:space="0"/>
              <w:left w:val="nil"/>
              <w:bottom w:val="single" w:color="000000" w:sz="8" w:space="0"/>
              <w:right w:val="single" w:color="000000" w:sz="8" w:space="0"/>
            </w:tcBorders>
            <w:shd w:val="clear" w:color="auto" w:fill="A5A5A5"/>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学院</w:t>
            </w:r>
          </w:p>
        </w:tc>
        <w:tc>
          <w:tcPr>
            <w:tcW w:w="2291" w:type="dxa"/>
            <w:tcBorders>
              <w:top w:val="single" w:color="000000" w:sz="8" w:space="0"/>
              <w:left w:val="nil"/>
              <w:bottom w:val="single" w:color="000000" w:sz="8" w:space="0"/>
              <w:right w:val="single" w:color="000000" w:sz="8" w:space="0"/>
            </w:tcBorders>
            <w:shd w:val="clear" w:color="auto" w:fill="A5A5A5"/>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班级</w:t>
            </w:r>
          </w:p>
        </w:tc>
        <w:tc>
          <w:tcPr>
            <w:tcW w:w="2004" w:type="dxa"/>
            <w:tcBorders>
              <w:top w:val="single" w:color="000000" w:sz="8" w:space="0"/>
              <w:left w:val="nil"/>
              <w:bottom w:val="single" w:color="000000" w:sz="8" w:space="0"/>
              <w:right w:val="single" w:color="000000" w:sz="8" w:space="0"/>
            </w:tcBorders>
            <w:shd w:val="clear" w:color="auto" w:fill="A5A5A5"/>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平均到课率（%）</w:t>
            </w:r>
          </w:p>
        </w:tc>
        <w:tc>
          <w:tcPr>
            <w:tcW w:w="1800" w:type="dxa"/>
            <w:tcBorders>
              <w:top w:val="single" w:color="000000" w:sz="8" w:space="0"/>
              <w:left w:val="nil"/>
              <w:bottom w:val="single" w:color="000000" w:sz="8" w:space="0"/>
              <w:right w:val="single" w:color="000000" w:sz="8" w:space="0"/>
            </w:tcBorders>
            <w:shd w:val="clear" w:color="auto" w:fill="A5A5A5"/>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300" w:hRule="atLeast"/>
          <w:jc w:val="center"/>
        </w:trPr>
        <w:tc>
          <w:tcPr>
            <w:tcW w:w="8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1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旅游管理学院</w:t>
            </w:r>
          </w:p>
        </w:tc>
        <w:tc>
          <w:tcPr>
            <w:tcW w:w="22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100%</w:t>
            </w:r>
          </w:p>
        </w:tc>
        <w:tc>
          <w:tcPr>
            <w:tcW w:w="18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jc w:val="center"/>
        </w:trPr>
        <w:tc>
          <w:tcPr>
            <w:tcW w:w="8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1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工程技术学院</w:t>
            </w:r>
          </w:p>
        </w:tc>
        <w:tc>
          <w:tcPr>
            <w:tcW w:w="22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19汽修1班</w:t>
            </w:r>
          </w:p>
        </w:tc>
        <w:tc>
          <w:tcPr>
            <w:tcW w:w="2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95%</w:t>
            </w:r>
          </w:p>
        </w:tc>
        <w:tc>
          <w:tcPr>
            <w:tcW w:w="18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jc w:val="center"/>
        </w:trPr>
        <w:tc>
          <w:tcPr>
            <w:tcW w:w="8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1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工商管理学院</w:t>
            </w:r>
          </w:p>
        </w:tc>
        <w:tc>
          <w:tcPr>
            <w:tcW w:w="22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19商务管理2班</w:t>
            </w:r>
          </w:p>
        </w:tc>
        <w:tc>
          <w:tcPr>
            <w:tcW w:w="2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94.12%</w:t>
            </w:r>
          </w:p>
        </w:tc>
        <w:tc>
          <w:tcPr>
            <w:tcW w:w="18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jc w:val="center"/>
        </w:trPr>
        <w:tc>
          <w:tcPr>
            <w:tcW w:w="8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1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财务管理学院</w:t>
            </w:r>
          </w:p>
        </w:tc>
        <w:tc>
          <w:tcPr>
            <w:tcW w:w="22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19投资管理1班</w:t>
            </w:r>
          </w:p>
        </w:tc>
        <w:tc>
          <w:tcPr>
            <w:tcW w:w="2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89.47%</w:t>
            </w:r>
          </w:p>
        </w:tc>
        <w:tc>
          <w:tcPr>
            <w:tcW w:w="18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jc w:val="center"/>
        </w:trPr>
        <w:tc>
          <w:tcPr>
            <w:tcW w:w="8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1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国际教育学院</w:t>
            </w:r>
          </w:p>
        </w:tc>
        <w:tc>
          <w:tcPr>
            <w:tcW w:w="22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19初级汉语Ι一1班</w:t>
            </w:r>
          </w:p>
        </w:tc>
        <w:tc>
          <w:tcPr>
            <w:tcW w:w="2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80%</w:t>
            </w:r>
          </w:p>
        </w:tc>
        <w:tc>
          <w:tcPr>
            <w:tcW w:w="18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jc w:val="center"/>
        </w:trPr>
        <w:tc>
          <w:tcPr>
            <w:tcW w:w="8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1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人文艺术学院</w:t>
            </w:r>
          </w:p>
        </w:tc>
        <w:tc>
          <w:tcPr>
            <w:tcW w:w="22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19景观设计1班</w:t>
            </w:r>
          </w:p>
        </w:tc>
        <w:tc>
          <w:tcPr>
            <w:tcW w:w="20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78.20%</w:t>
            </w:r>
          </w:p>
        </w:tc>
        <w:tc>
          <w:tcPr>
            <w:tcW w:w="18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beforeLines="150" w:afterLines="50"/>
        <w:ind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本次抽查结果显示，全校有29个班级学生平均到课率未达到100%，总数的22%</w:t>
      </w:r>
      <w:r>
        <w:rPr>
          <w:rFonts w:hint="eastAsia" w:ascii="仿宋" w:hAnsi="仿宋" w:eastAsia="仿宋" w:cs="仿宋"/>
          <w:sz w:val="28"/>
          <w:szCs w:val="28"/>
        </w:rPr>
        <w:t>：</w:t>
      </w:r>
    </w:p>
    <w:tbl>
      <w:tblPr>
        <w:tblStyle w:val="4"/>
        <w:tblW w:w="9041" w:type="dxa"/>
        <w:jc w:val="center"/>
        <w:tblInd w:w="-339" w:type="dxa"/>
        <w:shd w:val="clear" w:color="auto" w:fill="auto"/>
        <w:tblLayout w:type="fixed"/>
        <w:tblCellMar>
          <w:top w:w="0" w:type="dxa"/>
          <w:left w:w="0" w:type="dxa"/>
          <w:bottom w:w="0" w:type="dxa"/>
          <w:right w:w="0" w:type="dxa"/>
        </w:tblCellMar>
      </w:tblPr>
      <w:tblGrid>
        <w:gridCol w:w="818"/>
        <w:gridCol w:w="2809"/>
        <w:gridCol w:w="1636"/>
        <w:gridCol w:w="2005"/>
        <w:gridCol w:w="1773"/>
      </w:tblGrid>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5A5A5"/>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A5A5A5"/>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班级</w:t>
            </w:r>
          </w:p>
        </w:tc>
        <w:tc>
          <w:tcPr>
            <w:tcW w:w="1636" w:type="dxa"/>
            <w:tcBorders>
              <w:top w:val="single" w:color="000000" w:sz="4" w:space="0"/>
              <w:left w:val="single" w:color="000000" w:sz="4" w:space="0"/>
              <w:bottom w:val="single" w:color="000000" w:sz="4" w:space="0"/>
              <w:right w:val="single" w:color="000000" w:sz="4" w:space="0"/>
            </w:tcBorders>
            <w:shd w:val="clear" w:color="auto" w:fill="A5A5A5"/>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到课率（%）</w:t>
            </w:r>
          </w:p>
        </w:tc>
        <w:tc>
          <w:tcPr>
            <w:tcW w:w="2005" w:type="dxa"/>
            <w:tcBorders>
              <w:top w:val="single" w:color="000000" w:sz="4" w:space="0"/>
              <w:left w:val="single" w:color="000000" w:sz="4" w:space="0"/>
              <w:bottom w:val="single" w:color="000000" w:sz="4" w:space="0"/>
              <w:right w:val="single" w:color="000000" w:sz="4" w:space="0"/>
            </w:tcBorders>
            <w:shd w:val="clear" w:color="auto" w:fill="A5A5A5"/>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所属学院</w:t>
            </w:r>
          </w:p>
        </w:tc>
        <w:tc>
          <w:tcPr>
            <w:tcW w:w="1773" w:type="dxa"/>
            <w:tcBorders>
              <w:top w:val="single" w:color="000000" w:sz="4" w:space="0"/>
              <w:left w:val="single" w:color="000000" w:sz="4" w:space="0"/>
              <w:bottom w:val="single" w:color="000000" w:sz="4" w:space="0"/>
              <w:right w:val="single" w:color="000000" w:sz="4" w:space="0"/>
            </w:tcBorders>
            <w:shd w:val="clear" w:color="auto" w:fill="A5A5A5"/>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19初级汉语Ι-1</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80%</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国际</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19国经2</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97.67%</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19营销1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97.50%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19连锁2</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96.97%</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19国商1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96.30%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19商务管理1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95.74%</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19物流2</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95.45%</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19商务管理2</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94.12%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19会计9</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97.67%</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19会计7</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97.62%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19会计4</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97.62%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19审计1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97.50%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19税务4</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97.22%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19会计信息3＋2（高职）3</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97.14%</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19会计3+2（高职）3</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95.56%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19财务管理5</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95.56%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19财务管理3</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95.45%</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19会计信息1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93.55%</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19会计1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93.02%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19投资管理1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89.47%</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财管</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19汽修1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工程</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19广告1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97.22%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人文</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19室内设计1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97.14%</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人文</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19体管2</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96.77%</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人文</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19品牌1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94.29%</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人文</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19服装2</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89.29%</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人文</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19室内设计5</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85.71%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人文</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19景观设计2</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人文</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19景观设计1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78.26%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人文</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469" w:beforeLines="150"/>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几点建议</w:t>
      </w:r>
    </w:p>
    <w:p>
      <w:pPr>
        <w:keepNext w:val="0"/>
        <w:keepLines w:val="0"/>
        <w:pageBreakBefore w:val="0"/>
        <w:widowControl w:val="0"/>
        <w:kinsoku/>
        <w:wordWrap/>
        <w:overflowPunct/>
        <w:topLinePunct w:val="0"/>
        <w:autoSpaceDE/>
        <w:autoSpaceDN/>
        <w:bidi w:val="0"/>
        <w:adjustRightInd/>
        <w:snapToGrid/>
        <w:spacing w:line="440" w:lineRule="exact"/>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新生上课第一周和第二周，不能100%到达教室上课，应该引起我们的高度重视，因为学生到课堂上课，是学校实现教与学的基本前提。因此，督导委建议：</w:t>
      </w:r>
    </w:p>
    <w:p>
      <w:pPr>
        <w:keepNext w:val="0"/>
        <w:keepLines w:val="0"/>
        <w:pageBreakBefore w:val="0"/>
        <w:widowControl w:val="0"/>
        <w:kinsoku/>
        <w:wordWrap/>
        <w:overflowPunct/>
        <w:topLinePunct w:val="0"/>
        <w:autoSpaceDE/>
        <w:autoSpaceDN/>
        <w:bidi w:val="0"/>
        <w:adjustRightInd/>
        <w:snapToGrid/>
        <w:spacing w:line="440" w:lineRule="exact"/>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（1）请学校表扬旅游管理学院,因为旅游管理学院今年新生平均到课率已达到100%。</w:t>
      </w:r>
    </w:p>
    <w:p>
      <w:pPr>
        <w:keepNext w:val="0"/>
        <w:keepLines w:val="0"/>
        <w:pageBreakBefore w:val="0"/>
        <w:widowControl w:val="0"/>
        <w:kinsoku/>
        <w:wordWrap/>
        <w:overflowPunct/>
        <w:topLinePunct w:val="0"/>
        <w:autoSpaceDE/>
        <w:autoSpaceDN/>
        <w:bidi w:val="0"/>
        <w:adjustRightInd/>
        <w:snapToGrid/>
        <w:spacing w:line="440" w:lineRule="exact"/>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（2）针对连续四年新生到课率未达到100%，督导委继续建议各二级学院抓新生的学风建设，表扬好的班级，树立好的典型。</w:t>
      </w:r>
    </w:p>
    <w:p>
      <w:pPr>
        <w:keepNext w:val="0"/>
        <w:keepLines w:val="0"/>
        <w:pageBreakBefore w:val="0"/>
        <w:widowControl w:val="0"/>
        <w:kinsoku/>
        <w:wordWrap/>
        <w:overflowPunct/>
        <w:topLinePunct w:val="0"/>
        <w:autoSpaceDE/>
        <w:autoSpaceDN/>
        <w:bidi w:val="0"/>
        <w:adjustRightInd/>
        <w:snapToGrid/>
        <w:spacing w:line="440" w:lineRule="exact"/>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（3）继续建议工商管理学院、人文艺术学院查找班级学生平均到课率连续达不到全校平均水平的原因;</w:t>
      </w:r>
    </w:p>
    <w:p>
      <w:pPr>
        <w:keepNext w:val="0"/>
        <w:keepLines w:val="0"/>
        <w:pageBreakBefore w:val="0"/>
        <w:widowControl w:val="0"/>
        <w:kinsoku/>
        <w:wordWrap/>
        <w:overflowPunct/>
        <w:topLinePunct w:val="0"/>
        <w:autoSpaceDE/>
        <w:autoSpaceDN/>
        <w:bidi w:val="0"/>
        <w:adjustRightInd/>
        <w:snapToGrid/>
        <w:spacing w:line="440" w:lineRule="exact"/>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继续请各二级学院认真的查找部分新生为什么不愿意到教室上课的原因。</w:t>
      </w:r>
    </w:p>
    <w:p>
      <w:pPr>
        <w:keepNext w:val="0"/>
        <w:keepLines w:val="0"/>
        <w:pageBreakBefore w:val="0"/>
        <w:widowControl w:val="0"/>
        <w:kinsoku/>
        <w:wordWrap/>
        <w:overflowPunct/>
        <w:topLinePunct w:val="0"/>
        <w:autoSpaceDE/>
        <w:autoSpaceDN/>
        <w:bidi w:val="0"/>
        <w:adjustRightInd/>
        <w:snapToGrid/>
        <w:spacing w:line="440" w:lineRule="exact"/>
        <w:ind w:right="317"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（4）继续建议各二级学院建立或完善并严格执行各项课堂管理制度，达到用制度管人的目的。</w:t>
      </w:r>
    </w:p>
    <w:p>
      <w:pPr>
        <w:keepNext w:val="0"/>
        <w:keepLines w:val="0"/>
        <w:pageBreakBefore w:val="0"/>
        <w:widowControl w:val="0"/>
        <w:kinsoku/>
        <w:wordWrap/>
        <w:overflowPunct/>
        <w:topLinePunct w:val="0"/>
        <w:autoSpaceDE/>
        <w:autoSpaceDN/>
        <w:bidi w:val="0"/>
        <w:adjustRightInd/>
        <w:snapToGrid/>
        <w:spacing w:line="440" w:lineRule="exact"/>
        <w:ind w:right="317" w:firstLine="560" w:firstLineChars="200"/>
        <w:jc w:val="left"/>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317" w:firstLine="560" w:firstLineChars="200"/>
        <w:jc w:val="left"/>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附件：2019—2020学年第一学期第7-8周各二级学院新生到课率抽查排名</w:t>
      </w:r>
    </w:p>
    <w:p>
      <w:pPr>
        <w:ind w:right="320" w:firstLine="5783" w:firstLineChars="1800"/>
        <w:jc w:val="both"/>
        <w:rPr>
          <w:rFonts w:ascii="仿宋_GB2312" w:hAnsi="宋体" w:eastAsia="仿宋_GB2312" w:cs="Times New Roman"/>
          <w:b/>
          <w:color w:val="000000"/>
          <w:kern w:val="0"/>
          <w:sz w:val="32"/>
          <w:szCs w:val="32"/>
        </w:rPr>
      </w:pPr>
      <w:r>
        <w:rPr>
          <w:rFonts w:hint="eastAsia" w:ascii="仿宋_GB2312" w:hAnsi="宋体" w:eastAsia="仿宋_GB2312" w:cs="Times New Roman"/>
          <w:b/>
          <w:color w:val="000000"/>
          <w:kern w:val="0"/>
          <w:sz w:val="32"/>
          <w:szCs w:val="32"/>
        </w:rPr>
        <w:t>校教学督导委员会</w:t>
      </w:r>
    </w:p>
    <w:p>
      <w:pPr>
        <w:spacing w:beforeLines="50" w:afterLines="50"/>
        <w:ind w:right="640"/>
        <w:jc w:val="center"/>
        <w:rPr>
          <w:rFonts w:hint="eastAsia" w:ascii="仿宋_GB2312" w:hAnsi="宋体" w:eastAsia="仿宋_GB2312" w:cs="Times New Roman"/>
          <w:b/>
          <w:color w:val="000000"/>
          <w:kern w:val="0"/>
          <w:sz w:val="32"/>
          <w:szCs w:val="32"/>
        </w:rPr>
      </w:pPr>
      <w:r>
        <w:rPr>
          <w:rFonts w:hint="eastAsia" w:ascii="仿宋_GB2312" w:hAnsi="宋体" w:eastAsia="仿宋_GB2312" w:cs="Times New Roman"/>
          <w:b/>
          <w:color w:val="000000"/>
          <w:kern w:val="0"/>
          <w:sz w:val="32"/>
          <w:szCs w:val="32"/>
          <w:lang w:val="en-US" w:eastAsia="zh-CN"/>
        </w:rPr>
        <w:t xml:space="preserve">                                </w:t>
      </w:r>
      <w:r>
        <w:rPr>
          <w:rFonts w:hint="eastAsia" w:ascii="仿宋_GB2312" w:hAnsi="宋体" w:eastAsia="仿宋_GB2312" w:cs="Times New Roman"/>
          <w:b/>
          <w:color w:val="000000"/>
          <w:kern w:val="0"/>
          <w:sz w:val="32"/>
          <w:szCs w:val="32"/>
        </w:rPr>
        <w:t>二零一九年</w:t>
      </w:r>
      <w:r>
        <w:rPr>
          <w:rFonts w:hint="eastAsia" w:ascii="仿宋_GB2312" w:hAnsi="宋体" w:eastAsia="仿宋_GB2312" w:cs="Times New Roman"/>
          <w:b/>
          <w:color w:val="000000"/>
          <w:kern w:val="0"/>
          <w:sz w:val="32"/>
          <w:szCs w:val="32"/>
          <w:lang w:val="en-US" w:eastAsia="zh-CN"/>
        </w:rPr>
        <w:t>十</w:t>
      </w:r>
      <w:r>
        <w:rPr>
          <w:rFonts w:hint="eastAsia" w:ascii="仿宋_GB2312" w:hAnsi="宋体" w:eastAsia="仿宋_GB2312" w:cs="Times New Roman"/>
          <w:b/>
          <w:color w:val="000000"/>
          <w:kern w:val="0"/>
          <w:sz w:val="32"/>
          <w:szCs w:val="32"/>
        </w:rPr>
        <w:t>月</w:t>
      </w:r>
    </w:p>
    <w:p>
      <w:pPr>
        <w:spacing w:beforeLines="50" w:afterLines="50"/>
        <w:ind w:right="640"/>
        <w:jc w:val="center"/>
        <w:rPr>
          <w:rFonts w:hint="eastAsia" w:ascii="仿宋_GB2312" w:hAnsi="宋体" w:eastAsia="仿宋_GB2312" w:cs="Times New Roman"/>
          <w:b/>
          <w:color w:val="000000"/>
          <w:kern w:val="0"/>
          <w:sz w:val="32"/>
          <w:szCs w:val="32"/>
        </w:rPr>
        <w:sectPr>
          <w:pgSz w:w="11906" w:h="16838"/>
          <w:pgMar w:top="1134" w:right="1134" w:bottom="1134" w:left="1134" w:header="851" w:footer="992" w:gutter="0"/>
          <w:cols w:space="425" w:num="1"/>
          <w:docGrid w:type="lines" w:linePitch="312" w:charSpace="0"/>
        </w:sectPr>
      </w:pPr>
    </w:p>
    <w:tbl>
      <w:tblPr>
        <w:tblStyle w:val="4"/>
        <w:tblpPr w:leftFromText="180" w:rightFromText="180" w:vertAnchor="text" w:horzAnchor="page" w:tblpX="3035" w:tblpY="192"/>
        <w:tblOverlap w:val="never"/>
        <w:tblW w:w="12080" w:type="dxa"/>
        <w:tblInd w:w="0" w:type="dxa"/>
        <w:shd w:val="clear" w:color="auto" w:fill="auto"/>
        <w:tblLayout w:type="fixed"/>
        <w:tblCellMar>
          <w:top w:w="0" w:type="dxa"/>
          <w:left w:w="0" w:type="dxa"/>
          <w:bottom w:w="0" w:type="dxa"/>
          <w:right w:w="0" w:type="dxa"/>
        </w:tblCellMar>
      </w:tblPr>
      <w:tblGrid>
        <w:gridCol w:w="911"/>
        <w:gridCol w:w="1489"/>
        <w:gridCol w:w="2157"/>
        <w:gridCol w:w="2239"/>
        <w:gridCol w:w="2400"/>
        <w:gridCol w:w="2008"/>
        <w:gridCol w:w="876"/>
      </w:tblGrid>
      <w:tr>
        <w:tblPrEx>
          <w:shd w:val="clear" w:color="auto" w:fill="auto"/>
          <w:tblLayout w:type="fixed"/>
          <w:tblCellMar>
            <w:top w:w="0" w:type="dxa"/>
            <w:left w:w="0" w:type="dxa"/>
            <w:bottom w:w="0" w:type="dxa"/>
            <w:right w:w="0" w:type="dxa"/>
          </w:tblCellMar>
        </w:tblPrEx>
        <w:trPr>
          <w:trHeight w:val="1161" w:hRule="atLeast"/>
        </w:trPr>
        <w:tc>
          <w:tcPr>
            <w:tcW w:w="1208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2019-2020学年度第一学期各学院新生班级到课率抽查排名</w:t>
            </w:r>
          </w:p>
        </w:tc>
      </w:tr>
      <w:tr>
        <w:tblPrEx>
          <w:shd w:val="clear" w:color="auto" w:fill="auto"/>
          <w:tblLayout w:type="fixed"/>
          <w:tblCellMar>
            <w:top w:w="0" w:type="dxa"/>
            <w:left w:w="0" w:type="dxa"/>
            <w:bottom w:w="0" w:type="dxa"/>
            <w:right w:w="0" w:type="dxa"/>
          </w:tblCellMar>
        </w:tblPrEx>
        <w:trPr>
          <w:trHeight w:val="641" w:hRule="atLeast"/>
        </w:trPr>
        <w:tc>
          <w:tcPr>
            <w:tcW w:w="9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148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学院</w:t>
            </w:r>
          </w:p>
        </w:tc>
        <w:tc>
          <w:tcPr>
            <w:tcW w:w="215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both"/>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抽查班级数</w:t>
            </w:r>
          </w:p>
        </w:tc>
        <w:tc>
          <w:tcPr>
            <w:tcW w:w="22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both"/>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平均到课率</w:t>
            </w:r>
          </w:p>
        </w:tc>
        <w:tc>
          <w:tcPr>
            <w:tcW w:w="24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到课率100%班级数</w:t>
            </w:r>
          </w:p>
        </w:tc>
        <w:tc>
          <w:tcPr>
            <w:tcW w:w="200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低于60%班级数</w:t>
            </w:r>
          </w:p>
        </w:tc>
        <w:tc>
          <w:tcPr>
            <w:tcW w:w="87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606" w:hRule="atLeast"/>
        </w:trPr>
        <w:tc>
          <w:tcPr>
            <w:tcW w:w="91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1</w:t>
            </w:r>
          </w:p>
        </w:tc>
        <w:tc>
          <w:tcPr>
            <w:tcW w:w="148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旅管</w:t>
            </w:r>
          </w:p>
        </w:tc>
        <w:tc>
          <w:tcPr>
            <w:tcW w:w="215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14</w:t>
            </w:r>
          </w:p>
        </w:tc>
        <w:tc>
          <w:tcPr>
            <w:tcW w:w="22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100.00%</w:t>
            </w:r>
          </w:p>
        </w:tc>
        <w:tc>
          <w:tcPr>
            <w:tcW w:w="24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14</w:t>
            </w:r>
          </w:p>
        </w:tc>
        <w:tc>
          <w:tcPr>
            <w:tcW w:w="20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0</w:t>
            </w:r>
          </w:p>
        </w:tc>
        <w:tc>
          <w:tcPr>
            <w:tcW w:w="8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r>
      <w:tr>
        <w:tblPrEx>
          <w:tblLayout w:type="fixed"/>
          <w:tblCellMar>
            <w:top w:w="0" w:type="dxa"/>
            <w:left w:w="0" w:type="dxa"/>
            <w:bottom w:w="0" w:type="dxa"/>
            <w:right w:w="0" w:type="dxa"/>
          </w:tblCellMar>
        </w:tblPrEx>
        <w:trPr>
          <w:trHeight w:val="606" w:hRule="atLeast"/>
        </w:trPr>
        <w:tc>
          <w:tcPr>
            <w:tcW w:w="91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2</w:t>
            </w:r>
          </w:p>
        </w:tc>
        <w:tc>
          <w:tcPr>
            <w:tcW w:w="148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工程</w:t>
            </w:r>
          </w:p>
        </w:tc>
        <w:tc>
          <w:tcPr>
            <w:tcW w:w="215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23</w:t>
            </w:r>
          </w:p>
        </w:tc>
        <w:tc>
          <w:tcPr>
            <w:tcW w:w="22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99.89%</w:t>
            </w:r>
          </w:p>
        </w:tc>
        <w:tc>
          <w:tcPr>
            <w:tcW w:w="24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22</w:t>
            </w:r>
          </w:p>
        </w:tc>
        <w:tc>
          <w:tcPr>
            <w:tcW w:w="20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0</w:t>
            </w:r>
          </w:p>
        </w:tc>
        <w:tc>
          <w:tcPr>
            <w:tcW w:w="8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r>
      <w:tr>
        <w:tblPrEx>
          <w:shd w:val="clear" w:color="auto" w:fill="auto"/>
          <w:tblLayout w:type="fixed"/>
          <w:tblCellMar>
            <w:top w:w="0" w:type="dxa"/>
            <w:left w:w="0" w:type="dxa"/>
            <w:bottom w:w="0" w:type="dxa"/>
            <w:right w:w="0" w:type="dxa"/>
          </w:tblCellMar>
        </w:tblPrEx>
        <w:trPr>
          <w:trHeight w:val="606" w:hRule="atLeast"/>
        </w:trPr>
        <w:tc>
          <w:tcPr>
            <w:tcW w:w="91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3</w:t>
            </w:r>
          </w:p>
        </w:tc>
        <w:tc>
          <w:tcPr>
            <w:tcW w:w="148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国际</w:t>
            </w:r>
          </w:p>
        </w:tc>
        <w:tc>
          <w:tcPr>
            <w:tcW w:w="215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13</w:t>
            </w:r>
          </w:p>
        </w:tc>
        <w:tc>
          <w:tcPr>
            <w:tcW w:w="22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99.14%</w:t>
            </w:r>
          </w:p>
        </w:tc>
        <w:tc>
          <w:tcPr>
            <w:tcW w:w="24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12</w:t>
            </w:r>
          </w:p>
        </w:tc>
        <w:tc>
          <w:tcPr>
            <w:tcW w:w="20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0</w:t>
            </w:r>
          </w:p>
        </w:tc>
        <w:tc>
          <w:tcPr>
            <w:tcW w:w="8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r>
      <w:tr>
        <w:tblPrEx>
          <w:tblLayout w:type="fixed"/>
          <w:tblCellMar>
            <w:top w:w="0" w:type="dxa"/>
            <w:left w:w="0" w:type="dxa"/>
            <w:bottom w:w="0" w:type="dxa"/>
            <w:right w:w="0" w:type="dxa"/>
          </w:tblCellMar>
        </w:tblPrEx>
        <w:trPr>
          <w:trHeight w:val="606" w:hRule="atLeast"/>
        </w:trPr>
        <w:tc>
          <w:tcPr>
            <w:tcW w:w="91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4</w:t>
            </w:r>
          </w:p>
        </w:tc>
        <w:tc>
          <w:tcPr>
            <w:tcW w:w="148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财管</w:t>
            </w:r>
          </w:p>
        </w:tc>
        <w:tc>
          <w:tcPr>
            <w:tcW w:w="215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43</w:t>
            </w:r>
          </w:p>
        </w:tc>
        <w:tc>
          <w:tcPr>
            <w:tcW w:w="22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98.80%</w:t>
            </w:r>
          </w:p>
        </w:tc>
        <w:tc>
          <w:tcPr>
            <w:tcW w:w="24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31</w:t>
            </w:r>
          </w:p>
        </w:tc>
        <w:tc>
          <w:tcPr>
            <w:tcW w:w="20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0</w:t>
            </w:r>
          </w:p>
        </w:tc>
        <w:tc>
          <w:tcPr>
            <w:tcW w:w="8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r>
      <w:tr>
        <w:tblPrEx>
          <w:tblLayout w:type="fixed"/>
          <w:tblCellMar>
            <w:top w:w="0" w:type="dxa"/>
            <w:left w:w="0" w:type="dxa"/>
            <w:bottom w:w="0" w:type="dxa"/>
            <w:right w:w="0" w:type="dxa"/>
          </w:tblCellMar>
        </w:tblPrEx>
        <w:trPr>
          <w:trHeight w:val="606" w:hRule="atLeast"/>
        </w:trPr>
        <w:tc>
          <w:tcPr>
            <w:tcW w:w="91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5</w:t>
            </w:r>
          </w:p>
        </w:tc>
        <w:tc>
          <w:tcPr>
            <w:tcW w:w="148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工管</w:t>
            </w:r>
          </w:p>
        </w:tc>
        <w:tc>
          <w:tcPr>
            <w:tcW w:w="215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18</w:t>
            </w:r>
          </w:p>
        </w:tc>
        <w:tc>
          <w:tcPr>
            <w:tcW w:w="2239"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98.51%</w:t>
            </w: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11</w:t>
            </w:r>
          </w:p>
        </w:tc>
        <w:tc>
          <w:tcPr>
            <w:tcW w:w="20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0</w:t>
            </w:r>
          </w:p>
        </w:tc>
        <w:tc>
          <w:tcPr>
            <w:tcW w:w="8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r>
      <w:tr>
        <w:tblPrEx>
          <w:tblLayout w:type="fixed"/>
          <w:tblCellMar>
            <w:top w:w="0" w:type="dxa"/>
            <w:left w:w="0" w:type="dxa"/>
            <w:bottom w:w="0" w:type="dxa"/>
            <w:right w:w="0" w:type="dxa"/>
          </w:tblCellMar>
        </w:tblPrEx>
        <w:trPr>
          <w:trHeight w:val="624" w:hRule="atLeast"/>
        </w:trPr>
        <w:tc>
          <w:tcPr>
            <w:tcW w:w="91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6</w:t>
            </w:r>
          </w:p>
        </w:tc>
        <w:tc>
          <w:tcPr>
            <w:tcW w:w="148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人文</w:t>
            </w:r>
          </w:p>
        </w:tc>
        <w:tc>
          <w:tcPr>
            <w:tcW w:w="215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20</w:t>
            </w:r>
          </w:p>
        </w:tc>
        <w:tc>
          <w:tcPr>
            <w:tcW w:w="2239"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95.95%</w:t>
            </w:r>
          </w:p>
        </w:tc>
        <w:tc>
          <w:tcPr>
            <w:tcW w:w="2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12</w:t>
            </w:r>
          </w:p>
        </w:tc>
        <w:tc>
          <w:tcPr>
            <w:tcW w:w="20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0</w:t>
            </w:r>
          </w:p>
        </w:tc>
        <w:tc>
          <w:tcPr>
            <w:tcW w:w="8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8"/>
                <w:szCs w:val="28"/>
                <w:u w:val="none"/>
              </w:rPr>
            </w:pPr>
          </w:p>
        </w:tc>
      </w:tr>
    </w:tbl>
    <w:p>
      <w:pPr>
        <w:widowControl/>
        <w:rPr>
          <w:rFonts w:hint="eastAsia" w:ascii="仿宋" w:hAnsi="仿宋" w:eastAsia="仿宋"/>
          <w:b/>
          <w:color w:val="000000"/>
          <w:kern w:val="0"/>
          <w:sz w:val="32"/>
          <w:szCs w:val="32"/>
          <w:lang w:val="en-US" w:eastAsia="zh-CN"/>
        </w:rPr>
      </w:pPr>
      <w:r>
        <w:rPr>
          <w:rFonts w:hint="eastAsia" w:ascii="仿宋" w:hAnsi="仿宋" w:eastAsia="仿宋"/>
          <w:b w:val="0"/>
          <w:bCs/>
          <w:color w:val="000000"/>
          <w:kern w:val="0"/>
          <w:sz w:val="32"/>
          <w:szCs w:val="32"/>
          <w:lang w:val="en-US" w:eastAsia="zh-CN"/>
        </w:rPr>
        <w:t>附件：</w:t>
      </w:r>
    </w:p>
    <w:p>
      <w:pPr>
        <w:widowControl/>
        <w:rPr>
          <w:rFonts w:hint="eastAsia" w:ascii="仿宋" w:hAnsi="仿宋" w:eastAsia="仿宋"/>
          <w:b/>
          <w:color w:val="000000"/>
          <w:kern w:val="0"/>
          <w:sz w:val="32"/>
          <w:szCs w:val="32"/>
        </w:rPr>
      </w:pPr>
    </w:p>
    <w:p>
      <w:pPr>
        <w:widowControl/>
        <w:rPr>
          <w:rFonts w:hint="eastAsia" w:ascii="仿宋" w:hAnsi="仿宋" w:eastAsia="仿宋"/>
          <w:b/>
          <w:color w:val="000000"/>
          <w:kern w:val="0"/>
          <w:sz w:val="32"/>
          <w:szCs w:val="32"/>
        </w:rPr>
      </w:pPr>
    </w:p>
    <w:p>
      <w:pPr>
        <w:widowControl/>
        <w:rPr>
          <w:rFonts w:hint="eastAsia" w:ascii="仿宋" w:hAnsi="仿宋" w:eastAsia="仿宋"/>
          <w:b/>
          <w:color w:val="000000"/>
          <w:kern w:val="0"/>
          <w:sz w:val="32"/>
          <w:szCs w:val="32"/>
        </w:rPr>
      </w:pPr>
    </w:p>
    <w:p>
      <w:pPr>
        <w:widowControl/>
        <w:rPr>
          <w:rFonts w:hint="eastAsia" w:ascii="仿宋" w:hAnsi="仿宋" w:eastAsia="仿宋"/>
          <w:b/>
          <w:color w:val="000000"/>
          <w:kern w:val="0"/>
          <w:sz w:val="32"/>
          <w:szCs w:val="32"/>
        </w:rPr>
      </w:pPr>
    </w:p>
    <w:p>
      <w:pPr>
        <w:widowControl/>
        <w:rPr>
          <w:rFonts w:hint="eastAsia" w:ascii="仿宋" w:hAnsi="仿宋" w:eastAsia="仿宋"/>
          <w:b/>
          <w:color w:val="000000"/>
          <w:kern w:val="0"/>
          <w:sz w:val="32"/>
          <w:szCs w:val="32"/>
        </w:rPr>
      </w:pPr>
    </w:p>
    <w:p>
      <w:pPr>
        <w:widowControl/>
        <w:rPr>
          <w:rFonts w:hint="eastAsia" w:ascii="仿宋" w:hAnsi="仿宋" w:eastAsia="仿宋"/>
          <w:b/>
          <w:color w:val="000000"/>
          <w:kern w:val="0"/>
          <w:sz w:val="32"/>
          <w:szCs w:val="32"/>
        </w:rPr>
      </w:pPr>
    </w:p>
    <w:p>
      <w:pPr>
        <w:widowControl/>
        <w:rPr>
          <w:rFonts w:hint="eastAsia" w:ascii="仿宋" w:hAnsi="仿宋" w:eastAsia="仿宋"/>
          <w:b/>
          <w:color w:val="000000"/>
          <w:kern w:val="0"/>
          <w:sz w:val="32"/>
          <w:szCs w:val="32"/>
        </w:rPr>
      </w:pPr>
    </w:p>
    <w:p>
      <w:pPr>
        <w:widowControl/>
        <w:rPr>
          <w:rFonts w:hint="eastAsia" w:ascii="仿宋" w:hAnsi="仿宋" w:eastAsia="仿宋"/>
          <w:b/>
          <w:color w:val="000000"/>
          <w:kern w:val="0"/>
          <w:sz w:val="32"/>
          <w:szCs w:val="32"/>
        </w:rPr>
      </w:pPr>
    </w:p>
    <w:p>
      <w:pPr>
        <w:widowControl/>
        <w:rPr>
          <w:rFonts w:hint="eastAsia" w:ascii="仿宋" w:hAnsi="仿宋" w:eastAsia="仿宋"/>
          <w:b/>
          <w:color w:val="000000"/>
          <w:kern w:val="0"/>
          <w:sz w:val="32"/>
          <w:szCs w:val="32"/>
        </w:rPr>
      </w:pPr>
    </w:p>
    <w:p>
      <w:pPr>
        <w:widowControl/>
        <w:ind w:firstLine="1680" w:firstLineChars="700"/>
        <w:jc w:val="left"/>
        <w:rPr>
          <w:rFonts w:hint="eastAsia" w:ascii="黑体" w:hAnsi="黑体" w:eastAsia="黑体"/>
          <w:b/>
          <w:bCs/>
          <w:color w:val="000000"/>
          <w:kern w:val="0"/>
          <w:sz w:val="24"/>
          <w:lang w:val="en-US" w:eastAsia="zh-CN"/>
        </w:rPr>
      </w:pPr>
    </w:p>
    <w:p>
      <w:pPr>
        <w:widowControl/>
        <w:ind w:firstLine="1680" w:firstLineChars="700"/>
        <w:jc w:val="left"/>
        <w:rPr>
          <w:rFonts w:hint="eastAsia" w:ascii="黑体" w:hAnsi="黑体" w:eastAsia="黑体"/>
          <w:color w:val="000000"/>
        </w:rPr>
      </w:pPr>
      <w:bookmarkStart w:id="0" w:name="_GoBack"/>
      <w:bookmarkEnd w:id="0"/>
      <w:r>
        <w:rPr>
          <w:rFonts w:hint="eastAsia" w:ascii="黑体" w:hAnsi="黑体" w:eastAsia="黑体"/>
          <w:b/>
          <w:bCs/>
          <w:color w:val="000000"/>
          <w:kern w:val="0"/>
          <w:sz w:val="24"/>
          <w:lang w:val="en-US" w:eastAsia="zh-CN"/>
        </w:rPr>
        <w:t xml:space="preserve">备注： </w:t>
      </w:r>
      <w:r>
        <w:rPr>
          <w:rFonts w:hint="eastAsia" w:ascii="黑体" w:hAnsi="黑体" w:eastAsia="黑体"/>
          <w:color w:val="000000"/>
        </w:rPr>
        <w:t>1.本次开学第二周抽查上课班级有131个，实际抽查班级个数为131个，抽查覆盖率为100%。</w:t>
      </w:r>
    </w:p>
    <w:p>
      <w:pPr>
        <w:widowControl/>
        <w:numPr>
          <w:ilvl w:val="0"/>
          <w:numId w:val="0"/>
        </w:numPr>
        <w:ind w:firstLine="2520" w:firstLineChars="1200"/>
        <w:jc w:val="left"/>
        <w:rPr>
          <w:rFonts w:hint="eastAsia" w:ascii="黑体" w:hAnsi="黑体" w:eastAsia="黑体"/>
          <w:color w:val="000000"/>
        </w:rPr>
      </w:pPr>
      <w:r>
        <w:rPr>
          <w:rFonts w:hint="eastAsia" w:ascii="黑体" w:hAnsi="黑体" w:eastAsia="黑体"/>
          <w:color w:val="000000"/>
          <w:lang w:val="en-US" w:eastAsia="zh-CN"/>
        </w:rPr>
        <w:t>2.</w:t>
      </w:r>
      <w:r>
        <w:rPr>
          <w:rFonts w:hint="eastAsia" w:ascii="黑体" w:hAnsi="黑体" w:eastAsia="黑体"/>
          <w:color w:val="000000"/>
        </w:rPr>
        <w:t>本次抽查人数以督导人员现场抽查人数为准。</w:t>
      </w:r>
    </w:p>
    <w:p>
      <w:pPr>
        <w:widowControl/>
        <w:numPr>
          <w:ilvl w:val="0"/>
          <w:numId w:val="0"/>
        </w:numPr>
        <w:ind w:firstLine="2520" w:firstLineChars="1200"/>
        <w:jc w:val="left"/>
        <w:rPr>
          <w:rFonts w:hint="eastAsia" w:ascii="黑体" w:hAnsi="黑体" w:eastAsia="黑体"/>
          <w:color w:val="000000"/>
        </w:rPr>
      </w:pPr>
      <w:r>
        <w:rPr>
          <w:rFonts w:hint="eastAsia" w:ascii="黑体" w:hAnsi="黑体" w:eastAsia="黑体"/>
          <w:color w:val="000000"/>
          <w:lang w:val="en-US" w:eastAsia="zh-CN"/>
        </w:rPr>
        <w:t>3.</w:t>
      </w:r>
      <w:r>
        <w:rPr>
          <w:rFonts w:hint="eastAsia" w:ascii="黑体" w:hAnsi="黑体" w:eastAsia="黑体"/>
          <w:color w:val="000000"/>
        </w:rPr>
        <w:t>老师人数由教务处提供。</w:t>
      </w:r>
    </w:p>
    <w:p>
      <w:pPr>
        <w:numPr>
          <w:ilvl w:val="0"/>
          <w:numId w:val="0"/>
        </w:numPr>
        <w:ind w:firstLine="2520" w:firstLineChars="1200"/>
        <w:jc w:val="left"/>
        <w:rPr>
          <w:rFonts w:hint="eastAsia" w:ascii="仿宋" w:hAnsi="仿宋" w:eastAsia="仿宋"/>
          <w:b/>
          <w:color w:val="000000"/>
          <w:kern w:val="0"/>
          <w:sz w:val="32"/>
          <w:szCs w:val="32"/>
        </w:rPr>
      </w:pPr>
      <w:r>
        <w:rPr>
          <w:rFonts w:hint="eastAsia" w:ascii="黑体" w:hAnsi="黑体" w:eastAsia="黑体"/>
          <w:color w:val="000000"/>
          <w:lang w:val="en-US" w:eastAsia="zh-CN"/>
        </w:rPr>
        <w:t>4.</w:t>
      </w:r>
      <w:r>
        <w:rPr>
          <w:rFonts w:hint="eastAsia" w:ascii="黑体" w:hAnsi="黑体" w:eastAsia="黑体"/>
          <w:color w:val="000000"/>
        </w:rPr>
        <w:t>本数据是经各二级学院核实无误后上报教务处定稿。</w:t>
      </w:r>
    </w:p>
    <w:p>
      <w:pPr>
        <w:numPr>
          <w:ilvl w:val="0"/>
          <w:numId w:val="0"/>
        </w:numPr>
        <w:jc w:val="left"/>
        <w:rPr>
          <w:rFonts w:hint="eastAsia" w:ascii="黑体" w:hAnsi="黑体" w:eastAsia="黑体"/>
          <w:color w:val="000000"/>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方正报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776E2"/>
    <w:multiLevelType w:val="singleLevel"/>
    <w:tmpl w:val="711776E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C4"/>
    <w:rsid w:val="00042861"/>
    <w:rsid w:val="00063FB4"/>
    <w:rsid w:val="000A5E45"/>
    <w:rsid w:val="00122784"/>
    <w:rsid w:val="00141D80"/>
    <w:rsid w:val="00144A0C"/>
    <w:rsid w:val="00167209"/>
    <w:rsid w:val="001C6268"/>
    <w:rsid w:val="001F60C5"/>
    <w:rsid w:val="00511C35"/>
    <w:rsid w:val="00751E40"/>
    <w:rsid w:val="00785DDC"/>
    <w:rsid w:val="007D10CD"/>
    <w:rsid w:val="0089128D"/>
    <w:rsid w:val="00915F49"/>
    <w:rsid w:val="00A826F0"/>
    <w:rsid w:val="00AA03AD"/>
    <w:rsid w:val="00AC582B"/>
    <w:rsid w:val="00BD5338"/>
    <w:rsid w:val="00BD5BC4"/>
    <w:rsid w:val="00BD6C1E"/>
    <w:rsid w:val="00C10339"/>
    <w:rsid w:val="00C4674F"/>
    <w:rsid w:val="00CA0211"/>
    <w:rsid w:val="00CC04FC"/>
    <w:rsid w:val="00E27072"/>
    <w:rsid w:val="00E723D9"/>
    <w:rsid w:val="00EB1816"/>
    <w:rsid w:val="00EB2CC3"/>
    <w:rsid w:val="00FB7435"/>
    <w:rsid w:val="00FD5892"/>
    <w:rsid w:val="025D7010"/>
    <w:rsid w:val="036323B1"/>
    <w:rsid w:val="06023B0E"/>
    <w:rsid w:val="07797600"/>
    <w:rsid w:val="08357698"/>
    <w:rsid w:val="08552D48"/>
    <w:rsid w:val="138D7042"/>
    <w:rsid w:val="1B1B2212"/>
    <w:rsid w:val="1FD8024B"/>
    <w:rsid w:val="1FF9066F"/>
    <w:rsid w:val="2047541C"/>
    <w:rsid w:val="29396430"/>
    <w:rsid w:val="2BB24722"/>
    <w:rsid w:val="2F161DE5"/>
    <w:rsid w:val="31BF0FB7"/>
    <w:rsid w:val="335B08A0"/>
    <w:rsid w:val="37B70D84"/>
    <w:rsid w:val="3B0568CD"/>
    <w:rsid w:val="3C507016"/>
    <w:rsid w:val="4543394C"/>
    <w:rsid w:val="4DA54204"/>
    <w:rsid w:val="57FE4F17"/>
    <w:rsid w:val="5AC40A4E"/>
    <w:rsid w:val="5E302015"/>
    <w:rsid w:val="5F0C4602"/>
    <w:rsid w:val="60A03D8E"/>
    <w:rsid w:val="60E1715E"/>
    <w:rsid w:val="62FE3840"/>
    <w:rsid w:val="67F254EA"/>
    <w:rsid w:val="699C09D8"/>
    <w:rsid w:val="6B436FAA"/>
    <w:rsid w:val="6E17328B"/>
    <w:rsid w:val="72F26354"/>
    <w:rsid w:val="73481346"/>
    <w:rsid w:val="79E91596"/>
    <w:rsid w:val="7A2807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paragraph" w:customStyle="1" w:styleId="11">
    <w:name w:val="font5"/>
    <w:basedOn w:val="1"/>
    <w:qFormat/>
    <w:uiPriority w:val="0"/>
    <w:pPr>
      <w:widowControl/>
      <w:spacing w:before="100" w:beforeAutospacing="1" w:after="100" w:afterAutospacing="1"/>
      <w:jc w:val="left"/>
    </w:pPr>
    <w:rPr>
      <w:rFonts w:ascii="宋体" w:hAnsi="宋体"/>
      <w:color w:val="000000"/>
      <w:kern w:val="0"/>
      <w:sz w:val="22"/>
      <w:szCs w:val="22"/>
    </w:rPr>
  </w:style>
  <w:style w:type="paragraph" w:customStyle="1" w:styleId="12">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
    <w:name w:val="xl71"/>
    <w:basedOn w:val="1"/>
    <w:qFormat/>
    <w:uiPriority w:val="0"/>
    <w:pPr>
      <w:widowControl/>
      <w:spacing w:before="100" w:beforeAutospacing="1" w:after="100" w:afterAutospacing="1"/>
      <w:jc w:val="center"/>
    </w:pPr>
    <w:rPr>
      <w:rFonts w:ascii="宋体" w:hAnsi="宋体"/>
      <w:kern w:val="0"/>
      <w:sz w:val="24"/>
    </w:rPr>
  </w:style>
  <w:style w:type="paragraph" w:customStyle="1" w:styleId="21">
    <w:name w:val="xl72"/>
    <w:basedOn w:val="1"/>
    <w:qFormat/>
    <w:uiPriority w:val="0"/>
    <w:pPr>
      <w:widowControl/>
      <w:spacing w:before="100" w:beforeAutospacing="1" w:after="100" w:afterAutospacing="1"/>
      <w:jc w:val="center"/>
    </w:pPr>
    <w:rPr>
      <w:rFonts w:ascii="宋体" w:hAnsi="宋体"/>
      <w:kern w:val="0"/>
      <w:sz w:val="36"/>
      <w:szCs w:val="36"/>
    </w:rPr>
  </w:style>
  <w:style w:type="paragraph" w:customStyle="1" w:styleId="22">
    <w:name w:val="xl73"/>
    <w:basedOn w:val="1"/>
    <w:qFormat/>
    <w:uiPriority w:val="0"/>
    <w:pPr>
      <w:widowControl/>
      <w:pBdr>
        <w:bottom w:val="single" w:color="auto" w:sz="4" w:space="0"/>
      </w:pBdr>
      <w:spacing w:before="100" w:beforeAutospacing="1" w:after="100" w:afterAutospacing="1"/>
      <w:jc w:val="center"/>
    </w:pPr>
    <w:rPr>
      <w:rFonts w:ascii="宋体" w:hAnsi="宋体"/>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1522</Words>
  <Characters>8680</Characters>
  <Lines>72</Lines>
  <Paragraphs>20</Paragraphs>
  <TotalTime>35</TotalTime>
  <ScaleCrop>false</ScaleCrop>
  <LinksUpToDate>false</LinksUpToDate>
  <CharactersWithSpaces>10182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2019-09-23T00:57:00Z</dcterms:created>
  <dc:creator>maqing</dc:creator>
  <cp:lastModifiedBy>lenovo</cp:lastModifiedBy>
  <dcterms:modified xsi:type="dcterms:W3CDTF">2019-11-12T01:34:22Z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